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D949D6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2025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7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1B576D">
        <w:rPr>
          <w:sz w:val="24"/>
          <w:szCs w:val="24"/>
        </w:rPr>
        <w:t>travanj</w:t>
      </w:r>
      <w:r w:rsidR="00226E69">
        <w:rPr>
          <w:sz w:val="24"/>
          <w:szCs w:val="24"/>
        </w:rPr>
        <w:t xml:space="preserve">/ </w:t>
      </w:r>
      <w:r w:rsidR="001B576D">
        <w:rPr>
          <w:sz w:val="24"/>
          <w:szCs w:val="24"/>
        </w:rPr>
        <w:t>april</w:t>
      </w:r>
      <w:r w:rsidR="00226E69">
        <w:rPr>
          <w:sz w:val="24"/>
          <w:szCs w:val="24"/>
        </w:rPr>
        <w:t xml:space="preserve"> 202</w:t>
      </w:r>
      <w:r w:rsidR="001B576D">
        <w:rPr>
          <w:sz w:val="24"/>
          <w:szCs w:val="24"/>
        </w:rPr>
        <w:t>4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8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8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A00F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7311A6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0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240BCE" w:rsidRPr="00240BCE" w:rsidRDefault="00240BCE" w:rsidP="00240BCE">
      <w:pPr>
        <w:jc w:val="both"/>
        <w:rPr>
          <w:rFonts w:cstheme="minorHAnsi"/>
          <w:sz w:val="24"/>
          <w:szCs w:val="24"/>
        </w:rPr>
      </w:pPr>
      <w:r w:rsidRPr="00240BCE">
        <w:rPr>
          <w:rFonts w:cstheme="minorHAnsi"/>
          <w:sz w:val="24"/>
          <w:szCs w:val="24"/>
        </w:rPr>
        <w:t>Strateški okvir institucija Bosne i Hercegovine do 2030. godine</w:t>
      </w:r>
      <w:r>
        <w:rPr>
          <w:rFonts w:cstheme="minorHAnsi"/>
          <w:sz w:val="24"/>
          <w:szCs w:val="24"/>
        </w:rPr>
        <w:t>,</w:t>
      </w:r>
      <w:r w:rsidRPr="00240BCE">
        <w:rPr>
          <w:rFonts w:cstheme="minorHAnsi"/>
          <w:sz w:val="24"/>
          <w:szCs w:val="24"/>
        </w:rPr>
        <w:t xml:space="preserve"> usvojen na sjednici Vijeća ministara Bos</w:t>
      </w:r>
      <w:r>
        <w:rPr>
          <w:rFonts w:cstheme="minorHAnsi"/>
          <w:sz w:val="24"/>
          <w:szCs w:val="24"/>
        </w:rPr>
        <w:t xml:space="preserve">ne i Hercegovine 2022. godine, sadrži portfelji </w:t>
      </w:r>
      <w:r w:rsidRPr="00240BCE">
        <w:rPr>
          <w:rFonts w:cstheme="minorHAnsi"/>
          <w:sz w:val="24"/>
          <w:szCs w:val="24"/>
        </w:rPr>
        <w:t>usmjeravajućih strateških ciljeva i prioriteta za na</w:t>
      </w:r>
      <w:r>
        <w:rPr>
          <w:rFonts w:cstheme="minorHAnsi"/>
          <w:sz w:val="24"/>
          <w:szCs w:val="24"/>
        </w:rPr>
        <w:t>šu državu, a jedan od njih je</w:t>
      </w:r>
      <w:r w:rsidRPr="00240BCE">
        <w:rPr>
          <w:rFonts w:cstheme="minorHAnsi"/>
          <w:sz w:val="24"/>
          <w:szCs w:val="24"/>
        </w:rPr>
        <w:t xml:space="preserve"> i obrazovanje. </w:t>
      </w:r>
    </w:p>
    <w:p w:rsidR="00240BCE" w:rsidRPr="00240BCE" w:rsidRDefault="00240BCE" w:rsidP="00240BCE">
      <w:pPr>
        <w:jc w:val="both"/>
        <w:rPr>
          <w:rFonts w:cstheme="minorHAnsi"/>
          <w:sz w:val="24"/>
          <w:szCs w:val="24"/>
        </w:rPr>
      </w:pPr>
      <w:r w:rsidRPr="00240BCE">
        <w:rPr>
          <w:rFonts w:cstheme="minorHAnsi"/>
          <w:sz w:val="24"/>
          <w:szCs w:val="24"/>
        </w:rPr>
        <w:t>Fokus je stavljen na koordinaciju reformskih procesa s nadležnim obrazovnim i drugim institucijama u Bosni i Hercegovini, unapređenje oblasti obrazovanja i obuke mladih s ciljem izgradnje ljudskih resursa, harmonizacija planova entitetskih tijela vlasti na osnovu provedbe okvirnih zakona i razvijanja nedostajućih strateških dokumenata, kao i nastavak suradnje na međunarodnom planu u oblasti obrazovanja i obuke mladih, a u cilju dostizanja EU standarda i trendova radi potpunog integriranja u europski obrazovni prostor.</w:t>
      </w:r>
    </w:p>
    <w:p w:rsidR="00240BCE" w:rsidRPr="00240BCE" w:rsidRDefault="00240BCE" w:rsidP="00240BCE">
      <w:pPr>
        <w:jc w:val="both"/>
        <w:rPr>
          <w:rFonts w:cstheme="minorHAnsi"/>
          <w:sz w:val="24"/>
          <w:szCs w:val="24"/>
        </w:rPr>
      </w:pPr>
      <w:r w:rsidRPr="00240BC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obzirom da su ključne strategije u oblasti obrazovanja istekle još krajem 2015. godine, s</w:t>
      </w:r>
      <w:r w:rsidRPr="00240BCE">
        <w:rPr>
          <w:rFonts w:cstheme="minorHAnsi"/>
          <w:sz w:val="24"/>
          <w:szCs w:val="24"/>
        </w:rPr>
        <w:t>uvišno je naglašavati kako će donošenje novih strategija</w:t>
      </w:r>
      <w:r>
        <w:rPr>
          <w:rFonts w:cstheme="minorHAnsi"/>
          <w:sz w:val="24"/>
          <w:szCs w:val="24"/>
        </w:rPr>
        <w:t>, kao</w:t>
      </w:r>
      <w:r w:rsidRPr="00240BCE">
        <w:rPr>
          <w:rFonts w:cstheme="minorHAnsi"/>
          <w:sz w:val="24"/>
          <w:szCs w:val="24"/>
        </w:rPr>
        <w:t xml:space="preserve"> i razvoj nedostajućih strateških dokumenata doprinijeti harmonizaciji obrazovnih politika na svim razinama odlučivanja te bolju korelaciju obrazovnih programa s promjenama i potrebama tržišta rada u Bosni i Hercegovini. 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je</w:t>
      </w:r>
      <w:r w:rsidR="00240BCE">
        <w:rPr>
          <w:rFonts w:cstheme="minorHAnsi"/>
          <w:sz w:val="24"/>
          <w:szCs w:val="24"/>
        </w:rPr>
        <w:t xml:space="preserve"> još</w:t>
      </w:r>
      <w:r w:rsidRPr="002D5B31">
        <w:rPr>
          <w:rFonts w:cstheme="minorHAnsi"/>
          <w:sz w:val="24"/>
          <w:szCs w:val="24"/>
        </w:rPr>
        <w:t xml:space="preserve">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</w:t>
      </w:r>
      <w:r w:rsidR="00240BCE">
        <w:rPr>
          <w:rFonts w:cstheme="minorHAnsi"/>
          <w:sz w:val="24"/>
          <w:szCs w:val="24"/>
        </w:rPr>
        <w:t>rojnih institucija u tom razdoblju</w:t>
      </w:r>
      <w:r w:rsidRPr="002D5B31">
        <w:rPr>
          <w:rFonts w:cstheme="minorHAnsi"/>
          <w:sz w:val="24"/>
          <w:szCs w:val="24"/>
        </w:rPr>
        <w:t>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Cilj izrade ovog srednjoročnog plana jeste utvrđivanje jasnih smjernica </w:t>
      </w:r>
      <w:r w:rsidR="00886BA3">
        <w:rPr>
          <w:rFonts w:cstheme="minorHAnsi"/>
          <w:sz w:val="24"/>
          <w:szCs w:val="24"/>
        </w:rPr>
        <w:t xml:space="preserve">za rad </w:t>
      </w:r>
      <w:r w:rsidR="006845FD" w:rsidRPr="002D5B31">
        <w:rPr>
          <w:rFonts w:cstheme="minorHAnsi"/>
          <w:sz w:val="24"/>
          <w:szCs w:val="24"/>
        </w:rPr>
        <w:t xml:space="preserve">Agencije </w:t>
      </w:r>
      <w:r w:rsidR="00886BA3">
        <w:rPr>
          <w:rFonts w:cstheme="minorHAnsi"/>
          <w:sz w:val="24"/>
          <w:szCs w:val="24"/>
        </w:rPr>
        <w:t>u</w:t>
      </w:r>
      <w:r w:rsidR="006845FD" w:rsidRPr="002D5B31">
        <w:rPr>
          <w:rFonts w:cstheme="minorHAnsi"/>
          <w:sz w:val="24"/>
          <w:szCs w:val="24"/>
        </w:rPr>
        <w:t xml:space="preserve"> razdoblj</w:t>
      </w:r>
      <w:r w:rsidR="00886BA3">
        <w:rPr>
          <w:rFonts w:cstheme="minorHAnsi"/>
          <w:sz w:val="24"/>
          <w:szCs w:val="24"/>
        </w:rPr>
        <w:t>u</w:t>
      </w:r>
      <w:r w:rsidR="006845FD" w:rsidRPr="002D5B31">
        <w:rPr>
          <w:rFonts w:cstheme="minorHAnsi"/>
          <w:sz w:val="24"/>
          <w:szCs w:val="24"/>
        </w:rPr>
        <w:t xml:space="preserve"> 202</w:t>
      </w:r>
      <w:r w:rsidR="00886BA3">
        <w:rPr>
          <w:rFonts w:cstheme="minorHAnsi"/>
          <w:sz w:val="24"/>
          <w:szCs w:val="24"/>
        </w:rPr>
        <w:t>5</w:t>
      </w:r>
      <w:r w:rsidRPr="002D5B31">
        <w:rPr>
          <w:rFonts w:cstheme="minorHAnsi"/>
          <w:sz w:val="24"/>
          <w:szCs w:val="24"/>
        </w:rPr>
        <w:t>.-20</w:t>
      </w:r>
      <w:r w:rsidR="000F08BD" w:rsidRPr="002D5B31">
        <w:rPr>
          <w:rFonts w:cstheme="minorHAnsi"/>
          <w:sz w:val="24"/>
          <w:szCs w:val="24"/>
        </w:rPr>
        <w:t>2</w:t>
      </w:r>
      <w:r w:rsidR="00886BA3">
        <w:rPr>
          <w:rFonts w:cstheme="minorHAnsi"/>
          <w:sz w:val="24"/>
          <w:szCs w:val="24"/>
        </w:rPr>
        <w:t>7</w:t>
      </w:r>
      <w:r w:rsidRPr="002D5B31">
        <w:rPr>
          <w:rFonts w:cstheme="minorHAnsi"/>
          <w:sz w:val="24"/>
          <w:szCs w:val="24"/>
        </w:rPr>
        <w:t xml:space="preserve">. godine, kako bi </w:t>
      </w:r>
      <w:r w:rsidR="00886BA3">
        <w:rPr>
          <w:rFonts w:cstheme="minorHAnsi"/>
          <w:sz w:val="24"/>
          <w:szCs w:val="24"/>
        </w:rPr>
        <w:t xml:space="preserve">ona </w:t>
      </w:r>
      <w:r w:rsidRPr="002D5B31">
        <w:rPr>
          <w:rFonts w:cstheme="minorHAnsi"/>
          <w:sz w:val="24"/>
          <w:szCs w:val="24"/>
        </w:rPr>
        <w:t>što kvalitetnije doprinijel</w:t>
      </w:r>
      <w:r w:rsidR="00886BA3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poboljšanju kvalitet</w:t>
      </w:r>
      <w:r w:rsidR="00886BA3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u obrazovanju i osigura</w:t>
      </w:r>
      <w:r w:rsidR="00886BA3">
        <w:rPr>
          <w:rFonts w:cstheme="minorHAnsi"/>
          <w:sz w:val="24"/>
          <w:szCs w:val="24"/>
        </w:rPr>
        <w:t>va</w:t>
      </w:r>
      <w:r w:rsidRPr="002D5B31">
        <w:rPr>
          <w:rFonts w:cstheme="minorHAnsi"/>
          <w:sz w:val="24"/>
          <w:szCs w:val="24"/>
        </w:rPr>
        <w:t>nju njegove prepoznatljivosti i mjerljivosti na međunarodnom</w:t>
      </w:r>
      <w:r w:rsidR="00886BA3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1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razvoj zajedničke jezgre nastavnih planova i programa u predškolskom, osnovnom i srednjem 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 xml:space="preserve">Sukladno Zakonu o Agenciji i Odluci Vijeća ministara Bosne i Hercegovine o početku rada i utvrđivanju sjedišta (Službeni glasnik BiH, br. 8/08), Agencija ima sjedište u Mostaru i dvije 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A168A3" w:rsidRPr="002D5B31" w:rsidRDefault="00A168A3" w:rsidP="00884A5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2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2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3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886BA3" w:rsidRDefault="00886BA3" w:rsidP="003660EE">
      <w:pPr>
        <w:jc w:val="both"/>
        <w:rPr>
          <w:rFonts w:cstheme="minorHAnsi"/>
          <w:sz w:val="24"/>
          <w:szCs w:val="24"/>
        </w:rPr>
      </w:pPr>
    </w:p>
    <w:p w:rsidR="00886BA3" w:rsidRPr="002D5B31" w:rsidRDefault="00886BA3" w:rsidP="003660EE">
      <w:pPr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3. SUDIONICI I PARTNERI</w:t>
      </w:r>
      <w:bookmarkEnd w:id="4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>razvijenu mrežu partnerskih institucija, kako domaćih tako i međunarodnih. Intenzivna je suradnja s Ministarstvom civilnih poslova BiH, entitetskim i županijskim ministarstvima obrazovanja, 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</w:t>
      </w:r>
      <w:proofErr w:type="spellStart"/>
      <w:r w:rsidR="00C41054" w:rsidRPr="00FB2F5A">
        <w:rPr>
          <w:rFonts w:cstheme="minorHAnsi"/>
          <w:sz w:val="24"/>
          <w:szCs w:val="24"/>
        </w:rPr>
        <w:t>the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41054" w:rsidRPr="00FB2F5A">
        <w:rPr>
          <w:rFonts w:cstheme="minorHAnsi"/>
          <w:sz w:val="24"/>
          <w:szCs w:val="24"/>
        </w:rPr>
        <w:t>Children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proofErr w:type="spellStart"/>
      <w:r w:rsidRPr="00FB2F5A">
        <w:rPr>
          <w:rFonts w:cstheme="minorHAnsi"/>
          <w:sz w:val="24"/>
          <w:szCs w:val="24"/>
        </w:rPr>
        <w:t>KulturKontakt</w:t>
      </w:r>
      <w:proofErr w:type="spellEnd"/>
      <w:r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Austria</w:t>
      </w:r>
      <w:proofErr w:type="spellEnd"/>
      <w:r w:rsidR="00C41054" w:rsidRPr="00FB2F5A">
        <w:rPr>
          <w:rFonts w:cstheme="minorHAnsi"/>
          <w:sz w:val="24"/>
          <w:szCs w:val="24"/>
        </w:rPr>
        <w:t>.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Kao korisnici </w:t>
      </w:r>
      <w:proofErr w:type="spellStart"/>
      <w:r w:rsidRPr="002D5B31">
        <w:rPr>
          <w:rFonts w:cstheme="minorHAnsi"/>
          <w:sz w:val="24"/>
          <w:szCs w:val="24"/>
        </w:rPr>
        <w:t>Twinning</w:t>
      </w:r>
      <w:proofErr w:type="spellEnd"/>
      <w:r w:rsidRPr="002D5B31">
        <w:rPr>
          <w:rFonts w:cstheme="minorHAnsi"/>
          <w:sz w:val="24"/>
          <w:szCs w:val="24"/>
        </w:rPr>
        <w:t xml:space="preserve">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proofErr w:type="spellStart"/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>olstvo</w:t>
      </w:r>
      <w:proofErr w:type="spellEnd"/>
      <w:r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Državni </w:t>
      </w:r>
      <w:proofErr w:type="spellStart"/>
      <w:r w:rsidR="00CC76B7" w:rsidRPr="00FB2F5A">
        <w:rPr>
          <w:rFonts w:cstheme="minorHAnsi"/>
          <w:sz w:val="24"/>
          <w:szCs w:val="24"/>
        </w:rPr>
        <w:t>izpitni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cente</w:t>
      </w:r>
      <w:r w:rsidRPr="00FB2F5A">
        <w:rPr>
          <w:rFonts w:cstheme="minorHAnsi"/>
          <w:sz w:val="24"/>
          <w:szCs w:val="24"/>
        </w:rPr>
        <w:t>r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proofErr w:type="spellStart"/>
      <w:r w:rsidR="00CC76B7" w:rsidRPr="00FB2F5A">
        <w:rPr>
          <w:rFonts w:cstheme="minorHAnsi"/>
          <w:sz w:val="24"/>
          <w:szCs w:val="24"/>
        </w:rPr>
        <w:t>Center</w:t>
      </w:r>
      <w:proofErr w:type="spellEnd"/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poklicno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izobreževanje</w:t>
      </w:r>
      <w:proofErr w:type="spellEnd"/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Intenzivna je suradnja i s predstavnicima obrazovni</w:t>
      </w:r>
      <w:r w:rsidR="00886BA3">
        <w:rPr>
          <w:rFonts w:cstheme="minorHAnsi"/>
          <w:sz w:val="24"/>
          <w:szCs w:val="24"/>
        </w:rPr>
        <w:t>h institucija iz cijele regije (</w:t>
      </w:r>
      <w:r w:rsidR="00C40B55">
        <w:rPr>
          <w:rFonts w:cstheme="minorHAnsi"/>
          <w:sz w:val="24"/>
          <w:szCs w:val="24"/>
        </w:rPr>
        <w:t xml:space="preserve">npr. </w:t>
      </w:r>
      <w:r w:rsidR="00886BA3" w:rsidRPr="00886BA3">
        <w:rPr>
          <w:rFonts w:cstheme="minorHAnsi"/>
          <w:sz w:val="24"/>
          <w:szCs w:val="24"/>
        </w:rPr>
        <w:t>kroz Mrežu VET centara jugoistočne Europe...)</w:t>
      </w:r>
      <w:r w:rsidRPr="002D5B31">
        <w:rPr>
          <w:rFonts w:cstheme="minorHAnsi"/>
          <w:sz w:val="24"/>
          <w:szCs w:val="24"/>
        </w:rPr>
        <w:t xml:space="preserve">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>stvom članstva 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C40B55">
        <w:rPr>
          <w:rFonts w:cstheme="minorHAnsi"/>
          <w:sz w:val="24"/>
          <w:szCs w:val="24"/>
        </w:rPr>
        <w:t xml:space="preserve"> PISA</w:t>
      </w:r>
      <w:r w:rsidR="00EF3C07" w:rsidRPr="002D5B31">
        <w:rPr>
          <w:rFonts w:cstheme="minorHAnsi"/>
          <w:sz w:val="24"/>
          <w:szCs w:val="24"/>
        </w:rPr>
        <w:t>,</w:t>
      </w:r>
      <w:r w:rsidR="00C40B55">
        <w:rPr>
          <w:rFonts w:cstheme="minorHAnsi"/>
          <w:sz w:val="24"/>
          <w:szCs w:val="24"/>
        </w:rPr>
        <w:t xml:space="preserve"> TIMSS i ICILS</w:t>
      </w:r>
      <w:r w:rsidRPr="002D5B31">
        <w:rPr>
          <w:rFonts w:cstheme="minorHAnsi"/>
          <w:sz w:val="24"/>
          <w:szCs w:val="24"/>
        </w:rPr>
        <w:t xml:space="preserve">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C6283" w:rsidRPr="002D5B31" w:rsidRDefault="00EC6283" w:rsidP="003660EE">
      <w:pPr>
        <w:jc w:val="both"/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6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6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3B7E3D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15092C">
        <w:rPr>
          <w:rFonts w:cstheme="minorHAnsi"/>
          <w:sz w:val="24"/>
          <w:szCs w:val="24"/>
        </w:rPr>
        <w:t xml:space="preserve"> za </w:t>
      </w:r>
      <w:r w:rsidR="00EC6283">
        <w:rPr>
          <w:rFonts w:cstheme="minorHAnsi"/>
          <w:sz w:val="24"/>
          <w:szCs w:val="24"/>
        </w:rPr>
        <w:t xml:space="preserve">razdoblje </w:t>
      </w:r>
      <w:r w:rsidR="0015092C">
        <w:rPr>
          <w:rFonts w:cstheme="minorHAnsi"/>
          <w:sz w:val="24"/>
          <w:szCs w:val="24"/>
        </w:rPr>
        <w:t>202</w:t>
      </w:r>
      <w:r w:rsidR="00EC6283">
        <w:rPr>
          <w:rFonts w:cstheme="minorHAnsi"/>
          <w:sz w:val="24"/>
          <w:szCs w:val="24"/>
        </w:rPr>
        <w:t>5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EC6283">
        <w:rPr>
          <w:rFonts w:cstheme="minorHAnsi"/>
          <w:sz w:val="24"/>
          <w:szCs w:val="24"/>
        </w:rPr>
        <w:t>7.</w:t>
      </w:r>
      <w:r w:rsidR="00EF3C07" w:rsidRPr="002D5B31">
        <w:rPr>
          <w:rFonts w:cstheme="minorHAnsi"/>
          <w:sz w:val="24"/>
          <w:szCs w:val="24"/>
        </w:rPr>
        <w:t xml:space="preserve">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</w:t>
      </w:r>
      <w:r w:rsidR="00EC6283">
        <w:rPr>
          <w:rFonts w:cstheme="minorHAnsi"/>
          <w:sz w:val="24"/>
          <w:szCs w:val="24"/>
        </w:rPr>
        <w:t>Društva jednakih mogućnosti</w:t>
      </w:r>
      <w:r w:rsidR="00F602CD" w:rsidRPr="002D5B31">
        <w:rPr>
          <w:rFonts w:cstheme="minorHAnsi"/>
          <w:sz w:val="24"/>
          <w:szCs w:val="24"/>
        </w:rPr>
        <w:t>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7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7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EC6283">
        <w:rPr>
          <w:rFonts w:cstheme="minorHAnsi"/>
          <w:sz w:val="24"/>
          <w:szCs w:val="24"/>
        </w:rPr>
        <w:t xml:space="preserve"> Agencije za 2025.-2027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676560" w:rsidRPr="00702582" w:rsidRDefault="00EC6283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Provedba evaluacije </w:t>
      </w:r>
      <w:r w:rsidRPr="00EC6283">
        <w:rPr>
          <w:rFonts w:cstheme="minorHAnsi"/>
          <w:b/>
          <w:i/>
          <w:sz w:val="24"/>
          <w:szCs w:val="24"/>
        </w:rPr>
        <w:t>ZJNPP definirane na ishodima učenja, razvoj standarda u predškolskom, osnovnom, srednjem općem i srednjem strukovnom obrazovanju, provedba istraživanja u obrazovanju t</w:t>
      </w:r>
      <w:r>
        <w:rPr>
          <w:rFonts w:cstheme="minorHAnsi"/>
          <w:b/>
          <w:i/>
          <w:sz w:val="24"/>
          <w:szCs w:val="24"/>
        </w:rPr>
        <w:t>e provedba ERASMUS + projekata.</w:t>
      </w:r>
      <w:r w:rsidRPr="00FB2F0F">
        <w:rPr>
          <w:rFonts w:eastAsia="Times New Roman" w:cstheme="minorHAnsi"/>
          <w:bCs/>
          <w:sz w:val="11"/>
          <w:szCs w:val="11"/>
          <w:lang w:eastAsia="hr-HR"/>
        </w:rPr>
        <w:t xml:space="preserve">  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Pr="002D5B31" w:rsidRDefault="00BE4090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Evaluacija i razvoj Z</w:t>
      </w:r>
      <w:r w:rsidRPr="00BE4090">
        <w:rPr>
          <w:rFonts w:cstheme="minorHAnsi"/>
          <w:b/>
          <w:sz w:val="24"/>
          <w:szCs w:val="24"/>
        </w:rPr>
        <w:t>ajedničke jezgre nastavnih planova i programa (ZJNPP), uspostava standarda i ocjenjivanje postignutih rezultata u predškolskom, osnovnom i srednjem obrazovanju i drugi stručni poslovi u oblasti standarda znanja i ocjenjivanja kvalitete obrazovanja</w:t>
      </w:r>
      <w:r>
        <w:rPr>
          <w:rFonts w:cstheme="minorHAnsi"/>
          <w:b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>
        <w:rPr>
          <w:rFonts w:cstheme="minorHAnsi"/>
          <w:sz w:val="24"/>
          <w:szCs w:val="24"/>
        </w:rPr>
        <w:t xml:space="preserve">tri </w:t>
      </w:r>
      <w:r w:rsidR="00795114" w:rsidRPr="002D5B31">
        <w:rPr>
          <w:rFonts w:cstheme="minorHAnsi"/>
          <w:sz w:val="24"/>
          <w:szCs w:val="24"/>
        </w:rPr>
        <w:t>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BE4090" w:rsidRDefault="007870CB" w:rsidP="003660E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4.2.</w:t>
      </w:r>
      <w:r w:rsidR="00883FBC" w:rsidRPr="002D5B31">
        <w:rPr>
          <w:rFonts w:cstheme="minorHAnsi"/>
          <w:b/>
          <w:i/>
          <w:sz w:val="24"/>
          <w:szCs w:val="24"/>
        </w:rPr>
        <w:t xml:space="preserve">1. </w:t>
      </w:r>
      <w:r w:rsidR="00BE4090" w:rsidRPr="00BE4090">
        <w:rPr>
          <w:rFonts w:cstheme="minorHAnsi"/>
          <w:i/>
          <w:sz w:val="24"/>
          <w:szCs w:val="24"/>
        </w:rPr>
        <w:t>Unapređenje kvalitete predškolskog, osnovnog, srednjeg općeg i srednjeg strukovnog obrazovanja u BIH</w:t>
      </w:r>
      <w:r w:rsidR="00BE4090">
        <w:rPr>
          <w:rFonts w:cstheme="minorHAnsi"/>
          <w:i/>
          <w:sz w:val="24"/>
          <w:szCs w:val="24"/>
        </w:rPr>
        <w:t xml:space="preserve"> </w:t>
      </w:r>
    </w:p>
    <w:p w:rsidR="00BE4090" w:rsidRDefault="00BE4090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Koje podrazumijeva provedbu evaluacije</w:t>
      </w:r>
      <w:r w:rsidRPr="00BE4090">
        <w:rPr>
          <w:rFonts w:cstheme="minorHAnsi"/>
          <w:sz w:val="24"/>
          <w:szCs w:val="24"/>
        </w:rPr>
        <w:t xml:space="preserve"> primjene ZJNPP definirane na ishodima </w:t>
      </w:r>
      <w:r>
        <w:rPr>
          <w:rFonts w:cstheme="minorHAnsi"/>
          <w:sz w:val="24"/>
          <w:szCs w:val="24"/>
        </w:rPr>
        <w:t>učenja i razvoj</w:t>
      </w:r>
      <w:r w:rsidRPr="00BE4090">
        <w:rPr>
          <w:rFonts w:cstheme="minorHAnsi"/>
          <w:sz w:val="24"/>
          <w:szCs w:val="24"/>
        </w:rPr>
        <w:t xml:space="preserve"> novi</w:t>
      </w:r>
      <w:r>
        <w:rPr>
          <w:rFonts w:cstheme="minorHAnsi"/>
          <w:sz w:val="24"/>
          <w:szCs w:val="24"/>
        </w:rPr>
        <w:t>h</w:t>
      </w:r>
      <w:r w:rsidR="00E05882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tandarda</w:t>
      </w:r>
      <w:r w:rsidRPr="00BE4090">
        <w:rPr>
          <w:rFonts w:cstheme="minorHAnsi"/>
          <w:sz w:val="24"/>
          <w:szCs w:val="24"/>
        </w:rPr>
        <w:t xml:space="preserve"> u predškolskom, osnovnom, srednjem općem i srednjem strukovnom obrazovanju</w:t>
      </w:r>
      <w:r>
        <w:rPr>
          <w:rFonts w:cstheme="minorHAnsi"/>
          <w:sz w:val="24"/>
          <w:szCs w:val="24"/>
        </w:rPr>
        <w:t xml:space="preserve">. </w:t>
      </w:r>
    </w:p>
    <w:p w:rsidR="0077430D" w:rsidRDefault="00BE4090" w:rsidP="00E05882">
      <w:pPr>
        <w:jc w:val="both"/>
        <w:rPr>
          <w:rFonts w:cstheme="minorHAnsi"/>
          <w:sz w:val="24"/>
          <w:szCs w:val="24"/>
        </w:rPr>
      </w:pPr>
      <w:r w:rsidRPr="00BE4090">
        <w:rPr>
          <w:rFonts w:cstheme="minorHAnsi"/>
          <w:sz w:val="24"/>
          <w:szCs w:val="24"/>
        </w:rPr>
        <w:t xml:space="preserve"> </w:t>
      </w:r>
      <w:r w:rsidR="00E05882">
        <w:rPr>
          <w:rFonts w:cstheme="minorHAnsi"/>
          <w:sz w:val="24"/>
          <w:szCs w:val="24"/>
        </w:rPr>
        <w:t>U naznačenom razdoblju planirano je</w:t>
      </w:r>
      <w:r w:rsidR="00734D44">
        <w:rPr>
          <w:rFonts w:cstheme="minorHAnsi"/>
          <w:sz w:val="24"/>
          <w:szCs w:val="24"/>
        </w:rPr>
        <w:t xml:space="preserve"> kako će </w:t>
      </w:r>
      <w:r w:rsidR="004720F1" w:rsidRPr="002D5B31">
        <w:rPr>
          <w:rFonts w:cstheme="minorHAnsi"/>
          <w:sz w:val="24"/>
          <w:szCs w:val="24"/>
        </w:rPr>
        <w:t>Agencija raditi</w:t>
      </w:r>
      <w:r w:rsidR="00E05882">
        <w:rPr>
          <w:rFonts w:cstheme="minorHAnsi"/>
          <w:sz w:val="24"/>
          <w:szCs w:val="24"/>
        </w:rPr>
        <w:t xml:space="preserve"> (4) evaluacije </w:t>
      </w:r>
      <w:r w:rsidR="00A10B3A" w:rsidRPr="002D5B31">
        <w:rPr>
          <w:rFonts w:cstheme="minorHAnsi"/>
          <w:sz w:val="24"/>
          <w:szCs w:val="24"/>
        </w:rPr>
        <w:t>provedbe 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 w:rsidR="00A10B3A" w:rsidRPr="002D5B31">
        <w:rPr>
          <w:rFonts w:cstheme="minorHAnsi"/>
          <w:sz w:val="24"/>
          <w:szCs w:val="24"/>
        </w:rPr>
        <w:t xml:space="preserve">u postojeće NPP-ove </w:t>
      </w:r>
      <w:r w:rsidR="00E05882">
        <w:rPr>
          <w:rFonts w:cstheme="minorHAnsi"/>
          <w:sz w:val="24"/>
          <w:szCs w:val="24"/>
        </w:rPr>
        <w:t xml:space="preserve">i to: </w:t>
      </w:r>
      <w:r w:rsidR="00A10B3A" w:rsidRPr="002D5B31">
        <w:rPr>
          <w:rFonts w:cstheme="minorHAnsi"/>
          <w:sz w:val="24"/>
          <w:szCs w:val="24"/>
        </w:rPr>
        <w:t>evaluacij</w:t>
      </w:r>
      <w:r w:rsidR="00E05882">
        <w:rPr>
          <w:rFonts w:cstheme="minorHAnsi"/>
          <w:sz w:val="24"/>
          <w:szCs w:val="24"/>
        </w:rPr>
        <w:t>u</w:t>
      </w:r>
      <w:r w:rsidR="00A10B3A" w:rsidRPr="002D5B31">
        <w:rPr>
          <w:rFonts w:cstheme="minorHAnsi"/>
          <w:sz w:val="24"/>
          <w:szCs w:val="24"/>
        </w:rPr>
        <w:t xml:space="preserve"> provedbe </w:t>
      </w:r>
      <w:r w:rsidR="00E05882">
        <w:rPr>
          <w:rFonts w:cstheme="minorHAnsi"/>
          <w:sz w:val="24"/>
          <w:szCs w:val="24"/>
        </w:rPr>
        <w:t xml:space="preserve">ZJNPP definirane na ishodima u osnovnom obrazovanju - 2024./2025.; srednjem obrazovanju – 2025./2026.; evaluaciju provedbe </w:t>
      </w:r>
      <w:r w:rsidR="00A10B3A" w:rsidRPr="002D5B31">
        <w:rPr>
          <w:rFonts w:cstheme="minorHAnsi"/>
          <w:sz w:val="24"/>
          <w:szCs w:val="24"/>
        </w:rPr>
        <w:t>ZJCRP u predškolskom odgoju i obrazovanju</w:t>
      </w:r>
      <w:r w:rsidR="00E05882">
        <w:rPr>
          <w:rFonts w:cstheme="minorHAnsi"/>
          <w:sz w:val="24"/>
          <w:szCs w:val="24"/>
        </w:rPr>
        <w:t xml:space="preserve"> – 2026./ 2027. i evaluaciju </w:t>
      </w:r>
      <w:r w:rsidR="00E05882" w:rsidRPr="00E05882">
        <w:rPr>
          <w:rFonts w:cstheme="minorHAnsi"/>
          <w:sz w:val="24"/>
          <w:szCs w:val="24"/>
        </w:rPr>
        <w:t>provedbe ZJNPP</w:t>
      </w:r>
      <w:r w:rsidR="00E05882">
        <w:rPr>
          <w:rFonts w:cstheme="minorHAnsi"/>
          <w:sz w:val="24"/>
          <w:szCs w:val="24"/>
        </w:rPr>
        <w:t xml:space="preserve"> za inkluzivno obrazovanje – 2027./2028.</w:t>
      </w:r>
    </w:p>
    <w:p w:rsidR="00E05882" w:rsidRDefault="00E05882" w:rsidP="001175E6">
      <w:pPr>
        <w:pStyle w:val="Tekstkomentara"/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istom 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>razdoblju</w:t>
      </w:r>
      <w:r w:rsidR="001175E6">
        <w:rPr>
          <w:rFonts w:eastAsia="Times New Roman" w:cstheme="minorHAnsi"/>
          <w:bCs/>
          <w:sz w:val="24"/>
          <w:szCs w:val="24"/>
          <w:lang w:eastAsia="hr-HR"/>
        </w:rPr>
        <w:t xml:space="preserve"> (2025.-2027.)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Ag</w:t>
      </w:r>
      <w:r>
        <w:rPr>
          <w:rFonts w:eastAsia="Times New Roman" w:cstheme="minorHAnsi"/>
          <w:bCs/>
          <w:sz w:val="24"/>
          <w:szCs w:val="24"/>
          <w:lang w:eastAsia="hr-HR"/>
        </w:rPr>
        <w:t>encija će raditi i na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definiranju </w:t>
      </w:r>
      <w:r w:rsidR="001175E6">
        <w:rPr>
          <w:rFonts w:eastAsia="Times New Roman" w:cstheme="minorHAnsi"/>
          <w:bCs/>
          <w:sz w:val="24"/>
          <w:szCs w:val="24"/>
          <w:lang w:eastAsia="hr-HR"/>
        </w:rPr>
        <w:t xml:space="preserve">(9)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empirijskih 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čeničkih postignuća za treći, šesti i deveti razred devetogodišnjeg obrazovanja </w:t>
      </w:r>
      <w:r w:rsidR="001175E6">
        <w:rPr>
          <w:rFonts w:eastAsia="Times New Roman" w:cstheme="minorHAnsi"/>
          <w:bCs/>
          <w:sz w:val="24"/>
          <w:szCs w:val="24"/>
          <w:lang w:eastAsia="hr-HR"/>
        </w:rPr>
        <w:t>iz materinskog jezika te definiranju empirijskih standarda za prirodne znanosti za treći razred</w:t>
      </w:r>
      <w:r w:rsidR="001175E6" w:rsidRPr="001175E6">
        <w:t xml:space="preserve"> </w:t>
      </w:r>
      <w:r w:rsidR="001175E6" w:rsidRPr="001175E6">
        <w:rPr>
          <w:rFonts w:eastAsia="Times New Roman" w:cstheme="minorHAnsi"/>
          <w:bCs/>
          <w:sz w:val="24"/>
          <w:szCs w:val="24"/>
          <w:lang w:eastAsia="hr-HR"/>
        </w:rPr>
        <w:t>devetogodišnjeg obrazovanja</w:t>
      </w:r>
      <w:r w:rsidR="001175E6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1175E6" w:rsidRDefault="001175E6" w:rsidP="001175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Agencija će do kraja 2025. nastaviti i </w:t>
      </w:r>
      <w:r w:rsidRPr="00E05882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aktivnostima na </w:t>
      </w:r>
      <w:r w:rsidRPr="00E05882">
        <w:rPr>
          <w:rFonts w:cstheme="minorHAnsi"/>
          <w:sz w:val="24"/>
          <w:szCs w:val="24"/>
        </w:rPr>
        <w:t>razvoju standarda kvalitete u institucionalnom predškolskom odgoju i obrazovanju u BiH.</w:t>
      </w:r>
    </w:p>
    <w:p w:rsidR="001175E6" w:rsidRPr="001175E6" w:rsidRDefault="001175E6" w:rsidP="001175E6">
      <w:pPr>
        <w:pStyle w:val="Tekstkomentara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175E6">
        <w:rPr>
          <w:rFonts w:eastAsia="Times New Roman" w:cstheme="minorHAnsi"/>
          <w:bCs/>
          <w:sz w:val="24"/>
          <w:szCs w:val="24"/>
          <w:lang w:eastAsia="hr-HR"/>
        </w:rPr>
        <w:t>Agencija će, također, nastaviti raditi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i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 xml:space="preserve"> na unapređenju nastavnog plana i programa u s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rednjem strukovnom obrazovanju, kao i 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>na praćenju i unapređenju modularnih nastavnih planova i programa.</w:t>
      </w:r>
      <w:r w:rsidR="006611CF" w:rsidRPr="006611CF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P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 xml:space="preserve">lanirano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je 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 xml:space="preserve">nastaviti rad na izradi standarda zanimanja, kao </w:t>
      </w:r>
      <w:r>
        <w:rPr>
          <w:rFonts w:eastAsia="Times New Roman" w:cstheme="minorHAnsi"/>
          <w:bCs/>
          <w:sz w:val="24"/>
          <w:szCs w:val="24"/>
          <w:lang w:eastAsia="hr-HR"/>
        </w:rPr>
        <w:t>i rad na razvoju standarda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 xml:space="preserve"> kvalifikacija</w:t>
      </w:r>
      <w:r w:rsidR="006611CF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(ukupno četiri)</w:t>
      </w:r>
      <w:r w:rsidRPr="001175E6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E05882" w:rsidRDefault="00E05882" w:rsidP="00E05882">
      <w:pPr>
        <w:jc w:val="both"/>
        <w:rPr>
          <w:rFonts w:cstheme="minorHAnsi"/>
          <w:sz w:val="24"/>
          <w:szCs w:val="24"/>
        </w:rPr>
      </w:pPr>
    </w:p>
    <w:p w:rsidR="00E05882" w:rsidRPr="00E05882" w:rsidRDefault="00E05882" w:rsidP="00E05882">
      <w:pPr>
        <w:jc w:val="both"/>
        <w:rPr>
          <w:rFonts w:cstheme="minorHAnsi"/>
          <w:sz w:val="24"/>
          <w:szCs w:val="24"/>
        </w:rPr>
      </w:pPr>
    </w:p>
    <w:p w:rsidR="0077430D" w:rsidRDefault="0077430D" w:rsidP="003660EE">
      <w:pPr>
        <w:jc w:val="both"/>
        <w:rPr>
          <w:rFonts w:cstheme="minorHAnsi"/>
          <w:sz w:val="24"/>
          <w:szCs w:val="24"/>
        </w:rPr>
      </w:pPr>
    </w:p>
    <w:p w:rsidR="00CA11CB" w:rsidRDefault="007870CB" w:rsidP="00BE4090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4.2.</w:t>
      </w:r>
      <w:r w:rsidR="00877646" w:rsidRPr="002D5B31">
        <w:rPr>
          <w:rFonts w:cstheme="minorHAnsi"/>
          <w:b/>
          <w:i/>
          <w:sz w:val="24"/>
          <w:szCs w:val="24"/>
        </w:rPr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BE4090" w:rsidRPr="00BE4090">
        <w:rPr>
          <w:rFonts w:cstheme="minorHAnsi"/>
          <w:i/>
          <w:sz w:val="24"/>
          <w:szCs w:val="24"/>
        </w:rPr>
        <w:t>Provedba (međunarodnih)  istraživanja u obrazovanju</w:t>
      </w:r>
    </w:p>
    <w:p w:rsidR="00CA11CB" w:rsidRPr="002D5B31" w:rsidRDefault="00CA11CB" w:rsidP="00CA11C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1160F" w:rsidRDefault="00B71D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6611CF">
        <w:rPr>
          <w:rFonts w:cstheme="minorHAnsi"/>
          <w:sz w:val="24"/>
          <w:szCs w:val="24"/>
        </w:rPr>
        <w:t xml:space="preserve">, u naznačenom razdoblju </w:t>
      </w:r>
      <w:r w:rsidR="0023514F">
        <w:rPr>
          <w:rFonts w:cstheme="minorHAnsi"/>
          <w:sz w:val="24"/>
          <w:szCs w:val="24"/>
        </w:rPr>
        <w:t>d</w:t>
      </w:r>
      <w:r w:rsidR="006611CF">
        <w:rPr>
          <w:rFonts w:cstheme="minorHAnsi"/>
          <w:sz w:val="24"/>
          <w:szCs w:val="24"/>
        </w:rPr>
        <w:t>o</w:t>
      </w:r>
      <w:r w:rsidR="0023514F">
        <w:rPr>
          <w:rFonts w:cstheme="minorHAnsi"/>
          <w:sz w:val="24"/>
          <w:szCs w:val="24"/>
        </w:rPr>
        <w:t xml:space="preserve"> 202</w:t>
      </w:r>
      <w:r w:rsidR="006611CF">
        <w:rPr>
          <w:rFonts w:cstheme="minorHAnsi"/>
          <w:sz w:val="24"/>
          <w:szCs w:val="24"/>
        </w:rPr>
        <w:t>7</w:t>
      </w:r>
      <w:r w:rsidR="0023514F">
        <w:rPr>
          <w:rFonts w:cstheme="minorHAnsi"/>
          <w:sz w:val="24"/>
          <w:szCs w:val="24"/>
        </w:rPr>
        <w:t xml:space="preserve">. </w:t>
      </w:r>
      <w:r w:rsidR="006611CF">
        <w:rPr>
          <w:rFonts w:cstheme="minorHAnsi"/>
          <w:sz w:val="24"/>
          <w:szCs w:val="24"/>
        </w:rPr>
        <w:t>godine, planira</w:t>
      </w:r>
      <w:r w:rsidR="003E4352">
        <w:rPr>
          <w:rFonts w:cstheme="minorHAnsi"/>
          <w:sz w:val="24"/>
          <w:szCs w:val="24"/>
        </w:rPr>
        <w:t xml:space="preserve"> pripremiti materijale i</w:t>
      </w:r>
      <w:r w:rsidR="006611CF">
        <w:rPr>
          <w:rFonts w:cstheme="minorHAnsi"/>
          <w:sz w:val="24"/>
          <w:szCs w:val="24"/>
        </w:rPr>
        <w:t xml:space="preserve"> provesti</w:t>
      </w:r>
      <w:r w:rsidR="003E4352">
        <w:rPr>
          <w:rFonts w:cstheme="minorHAnsi"/>
          <w:sz w:val="24"/>
          <w:szCs w:val="24"/>
        </w:rPr>
        <w:t xml:space="preserve"> probno istraživanje</w:t>
      </w:r>
      <w:r w:rsidR="006611CF">
        <w:rPr>
          <w:rFonts w:cstheme="minorHAnsi"/>
          <w:sz w:val="24"/>
          <w:szCs w:val="24"/>
        </w:rPr>
        <w:t xml:space="preserve"> međunarodn</w:t>
      </w:r>
      <w:r w:rsidR="003E4352">
        <w:rPr>
          <w:rFonts w:cstheme="minorHAnsi"/>
          <w:sz w:val="24"/>
          <w:szCs w:val="24"/>
        </w:rPr>
        <w:t>e</w:t>
      </w:r>
      <w:r w:rsidR="00E969CF" w:rsidRPr="002D5B31">
        <w:rPr>
          <w:rFonts w:cstheme="minorHAnsi"/>
          <w:sz w:val="24"/>
          <w:szCs w:val="24"/>
        </w:rPr>
        <w:t xml:space="preserve"> studij</w:t>
      </w:r>
      <w:r w:rsidR="003E4352">
        <w:rPr>
          <w:rFonts w:cstheme="minorHAnsi"/>
          <w:sz w:val="24"/>
          <w:szCs w:val="24"/>
        </w:rPr>
        <w:t>e</w:t>
      </w:r>
      <w:r w:rsidR="006611CF">
        <w:rPr>
          <w:rFonts w:cstheme="minorHAnsi"/>
          <w:sz w:val="24"/>
          <w:szCs w:val="24"/>
        </w:rPr>
        <w:t xml:space="preserve"> PISA 2028</w:t>
      </w:r>
      <w:r w:rsidR="003E4352">
        <w:rPr>
          <w:rFonts w:cstheme="minorHAnsi"/>
          <w:sz w:val="24"/>
          <w:szCs w:val="24"/>
        </w:rPr>
        <w:t>, naravno ukoliko za to bude postojao</w:t>
      </w:r>
      <w:r w:rsidR="006611CF">
        <w:rPr>
          <w:rFonts w:cstheme="minorHAnsi"/>
          <w:sz w:val="24"/>
          <w:szCs w:val="24"/>
        </w:rPr>
        <w:t xml:space="preserve"> politički konsenzus. Također, Agencija </w:t>
      </w:r>
      <w:r w:rsidR="003E4352">
        <w:rPr>
          <w:rFonts w:cstheme="minorHAnsi"/>
          <w:sz w:val="24"/>
          <w:szCs w:val="24"/>
        </w:rPr>
        <w:t xml:space="preserve">u 2025. </w:t>
      </w:r>
      <w:r w:rsidR="006611CF">
        <w:rPr>
          <w:rFonts w:cstheme="minorHAnsi"/>
          <w:sz w:val="24"/>
          <w:szCs w:val="24"/>
        </w:rPr>
        <w:t xml:space="preserve">planira provesti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>e rezultata prethodno provedenih međunarodnih istraživanja</w:t>
      </w:r>
      <w:r w:rsidR="006611CF">
        <w:rPr>
          <w:rFonts w:cstheme="minorHAnsi"/>
          <w:sz w:val="24"/>
          <w:szCs w:val="24"/>
        </w:rPr>
        <w:t xml:space="preserve"> (TIMSS 2023 i ICILS 2023)</w:t>
      </w:r>
      <w:r w:rsidR="0023514F">
        <w:rPr>
          <w:rFonts w:cstheme="minorHAnsi"/>
          <w:sz w:val="24"/>
          <w:szCs w:val="24"/>
        </w:rPr>
        <w:t xml:space="preserve"> </w:t>
      </w:r>
      <w:r w:rsidR="00487824" w:rsidRPr="002D5B31">
        <w:rPr>
          <w:rFonts w:cstheme="minorHAnsi"/>
          <w:sz w:val="24"/>
          <w:szCs w:val="24"/>
        </w:rPr>
        <w:t xml:space="preserve">s ciljem davanja preporuka za unapređenje kvaliteta obrazovanja zasnovanog </w:t>
      </w:r>
      <w:r w:rsidR="005F1CA8" w:rsidRPr="002D5B31">
        <w:rPr>
          <w:rFonts w:cstheme="minorHAnsi"/>
          <w:sz w:val="24"/>
          <w:szCs w:val="24"/>
        </w:rPr>
        <w:t>konkretnim pokazateljima</w:t>
      </w:r>
      <w:r w:rsidR="0023514F">
        <w:rPr>
          <w:rFonts w:cstheme="minorHAnsi"/>
          <w:sz w:val="24"/>
          <w:szCs w:val="24"/>
        </w:rPr>
        <w:t xml:space="preserve"> provedenih međunarodnih studija.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 jer nam pokazuju gdje smo i kuda idemo u odnosu na druge.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E969CF" w:rsidRDefault="007870CB" w:rsidP="003660E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4.2.3</w:t>
      </w:r>
      <w:r w:rsidR="00E969CF" w:rsidRPr="002D5B31">
        <w:rPr>
          <w:rFonts w:cstheme="minorHAnsi"/>
          <w:b/>
          <w:i/>
          <w:sz w:val="24"/>
          <w:szCs w:val="24"/>
        </w:rPr>
        <w:t xml:space="preserve">. </w:t>
      </w:r>
      <w:r w:rsidR="00E969CF"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Pr="002D5B31" w:rsidRDefault="00776E44" w:rsidP="00776E44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</w:t>
      </w:r>
      <w:r w:rsidR="00571A81">
        <w:rPr>
          <w:rFonts w:cstheme="minorHAnsi"/>
          <w:sz w:val="24"/>
          <w:szCs w:val="24"/>
        </w:rPr>
        <w:t xml:space="preserve">BiH , u okviru programa </w:t>
      </w:r>
      <w:proofErr w:type="spellStart"/>
      <w:r w:rsidR="00571A8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>+, djeluje kao Državna služba za podršku (DSP) za eTwinning i EPALE projekt</w:t>
      </w:r>
      <w:r w:rsidR="003E4352">
        <w:rPr>
          <w:rFonts w:cstheme="minorHAnsi"/>
          <w:sz w:val="24"/>
          <w:szCs w:val="24"/>
        </w:rPr>
        <w:t xml:space="preserve"> te provodi projekt </w:t>
      </w:r>
      <w:r w:rsidR="007870CB">
        <w:rPr>
          <w:rFonts w:cstheme="minorHAnsi"/>
          <w:sz w:val="24"/>
          <w:szCs w:val="24"/>
        </w:rPr>
        <w:t xml:space="preserve">Europske </w:t>
      </w:r>
      <w:proofErr w:type="spellStart"/>
      <w:r w:rsidR="007870CB">
        <w:rPr>
          <w:rFonts w:cstheme="minorHAnsi"/>
          <w:sz w:val="24"/>
          <w:szCs w:val="24"/>
        </w:rPr>
        <w:t>Agende</w:t>
      </w:r>
      <w:proofErr w:type="spellEnd"/>
      <w:r w:rsidR="007870CB">
        <w:rPr>
          <w:rFonts w:cstheme="minorHAnsi"/>
          <w:sz w:val="24"/>
          <w:szCs w:val="24"/>
        </w:rPr>
        <w:t xml:space="preserve"> za obrazovanje odraslih (EAAL)</w:t>
      </w:r>
      <w:r w:rsidRPr="002D5B31">
        <w:rPr>
          <w:rFonts w:cstheme="minorHAnsi"/>
          <w:sz w:val="24"/>
          <w:szCs w:val="24"/>
        </w:rPr>
        <w:t xml:space="preserve"> korist</w:t>
      </w:r>
      <w:r w:rsidR="007870CB">
        <w:rPr>
          <w:rFonts w:cstheme="minorHAnsi"/>
          <w:sz w:val="24"/>
          <w:szCs w:val="24"/>
        </w:rPr>
        <w:t>eći</w:t>
      </w:r>
      <w:r w:rsidRPr="002D5B31">
        <w:rPr>
          <w:rFonts w:cstheme="minorHAnsi"/>
          <w:sz w:val="24"/>
          <w:szCs w:val="24"/>
        </w:rPr>
        <w:t xml:space="preserve"> sredstva </w:t>
      </w:r>
      <w:proofErr w:type="spellStart"/>
      <w:r w:rsidRPr="002D5B31">
        <w:rPr>
          <w:rFonts w:cstheme="minorHAnsi"/>
          <w:sz w:val="24"/>
          <w:szCs w:val="24"/>
        </w:rPr>
        <w:t>granta</w:t>
      </w:r>
      <w:proofErr w:type="spellEnd"/>
      <w:r w:rsidRPr="002D5B31">
        <w:rPr>
          <w:rFonts w:cstheme="minorHAnsi"/>
          <w:sz w:val="24"/>
          <w:szCs w:val="24"/>
        </w:rPr>
        <w:t xml:space="preserve">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3D1187" w:rsidRPr="002D5B31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>odrške pri Europskoj Komisij</w:t>
      </w:r>
      <w:r w:rsidR="007870CB">
        <w:rPr>
          <w:rFonts w:cstheme="minorHAnsi"/>
          <w:sz w:val="24"/>
          <w:szCs w:val="24"/>
        </w:rPr>
        <w:t xml:space="preserve">i), te promoviranja eTwinning, </w:t>
      </w:r>
      <w:r w:rsidRPr="002D5B31">
        <w:rPr>
          <w:rFonts w:cstheme="minorHAnsi"/>
          <w:sz w:val="24"/>
          <w:szCs w:val="24"/>
        </w:rPr>
        <w:t>EPALE</w:t>
      </w:r>
      <w:r w:rsidR="007870CB">
        <w:rPr>
          <w:rFonts w:cstheme="minorHAnsi"/>
          <w:sz w:val="24"/>
          <w:szCs w:val="24"/>
        </w:rPr>
        <w:t xml:space="preserve"> i EAAL</w:t>
      </w:r>
      <w:r w:rsidRPr="002D5B31">
        <w:rPr>
          <w:rFonts w:cstheme="minorHAnsi"/>
          <w:sz w:val="24"/>
          <w:szCs w:val="24"/>
        </w:rPr>
        <w:t xml:space="preserve"> projek</w:t>
      </w:r>
      <w:r w:rsidR="007870CB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ta u Bosni i Hercegovini. </w:t>
      </w:r>
    </w:p>
    <w:p w:rsidR="00776E44" w:rsidRPr="002D5B31" w:rsidRDefault="00B32A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narednom raz</w:t>
      </w:r>
      <w:r w:rsidR="00E72994" w:rsidRPr="002D5B31">
        <w:rPr>
          <w:rFonts w:cstheme="minorHAnsi"/>
          <w:sz w:val="24"/>
          <w:szCs w:val="24"/>
        </w:rPr>
        <w:t xml:space="preserve">doblju DSP </w:t>
      </w:r>
      <w:proofErr w:type="spellStart"/>
      <w:r w:rsidR="00E72994" w:rsidRPr="002D5B31">
        <w:rPr>
          <w:rFonts w:cstheme="minorHAnsi"/>
          <w:sz w:val="24"/>
          <w:szCs w:val="24"/>
        </w:rPr>
        <w:t>eTwining</w:t>
      </w:r>
      <w:proofErr w:type="spellEnd"/>
      <w:r w:rsidR="00E72994" w:rsidRPr="002D5B31">
        <w:rPr>
          <w:rFonts w:cstheme="minorHAnsi"/>
          <w:sz w:val="24"/>
          <w:szCs w:val="24"/>
        </w:rPr>
        <w:t xml:space="preserve"> 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>ra 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>broja ško</w:t>
      </w:r>
      <w:r w:rsidR="00D33EC1" w:rsidRPr="002D5B31">
        <w:rPr>
          <w:rFonts w:cstheme="minorHAnsi"/>
          <w:sz w:val="24"/>
          <w:szCs w:val="24"/>
        </w:rPr>
        <w:t>l</w:t>
      </w:r>
      <w:r w:rsidR="00655045" w:rsidRPr="002D5B31">
        <w:rPr>
          <w:rFonts w:cstheme="minorHAnsi"/>
          <w:sz w:val="24"/>
          <w:szCs w:val="24"/>
        </w:rPr>
        <w:t xml:space="preserve">a, </w:t>
      </w:r>
      <w:r w:rsidR="00146E5A" w:rsidRPr="002D5B31">
        <w:rPr>
          <w:rFonts w:cstheme="minorHAnsi"/>
          <w:sz w:val="24"/>
          <w:szCs w:val="24"/>
        </w:rPr>
        <w:t>predškolskih ustanova, odgojitelja i nast</w:t>
      </w:r>
      <w:r w:rsidR="00A23A15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>vnika 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>koja koristi eTwinning platformu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</w:t>
      </w:r>
      <w:r w:rsidR="00145B1B" w:rsidRPr="002D5B31">
        <w:rPr>
          <w:rFonts w:cstheme="minorHAnsi"/>
          <w:sz w:val="24"/>
          <w:szCs w:val="24"/>
        </w:rPr>
        <w:t xml:space="preserve">Ključni prioriteti EPALE </w:t>
      </w:r>
      <w:r w:rsidR="00D33EC1" w:rsidRPr="002D5B31">
        <w:rPr>
          <w:rFonts w:cstheme="minorHAnsi"/>
          <w:sz w:val="24"/>
          <w:szCs w:val="24"/>
        </w:rPr>
        <w:t xml:space="preserve">projekta u narednom razdoblju </w:t>
      </w:r>
      <w:r w:rsidR="00145B1B"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>EPALE zajednice na državnoj</w:t>
      </w:r>
      <w:r w:rsidR="00145B1B"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="00145B1B"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="00145B1B"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="00145B1B"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="00145B1B" w:rsidRPr="002D5B31">
        <w:rPr>
          <w:rFonts w:cstheme="minorHAnsi"/>
          <w:sz w:val="24"/>
          <w:szCs w:val="24"/>
        </w:rPr>
        <w:t xml:space="preserve"> korisnika i umrežavanje in</w:t>
      </w:r>
      <w:r w:rsidR="00D33EC1" w:rsidRPr="002D5B31">
        <w:rPr>
          <w:rFonts w:cstheme="minorHAnsi"/>
          <w:sz w:val="24"/>
          <w:szCs w:val="24"/>
        </w:rPr>
        <w:t>stitucija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="00145B1B" w:rsidRPr="002D5B31">
        <w:rPr>
          <w:rFonts w:cstheme="minorHAnsi"/>
          <w:sz w:val="24"/>
          <w:szCs w:val="24"/>
        </w:rPr>
        <w:t xml:space="preserve">i regionalnoj razini. </w:t>
      </w:r>
      <w:r w:rsidR="007870CB">
        <w:rPr>
          <w:rFonts w:cstheme="minorHAnsi"/>
          <w:sz w:val="24"/>
          <w:szCs w:val="24"/>
        </w:rPr>
        <w:t>P</w:t>
      </w:r>
      <w:r w:rsidR="00145B1B" w:rsidRPr="002D5B31">
        <w:rPr>
          <w:rFonts w:cstheme="minorHAnsi"/>
          <w:sz w:val="24"/>
          <w:szCs w:val="24"/>
        </w:rPr>
        <w:t xml:space="preserve">rojekt </w:t>
      </w:r>
      <w:r w:rsidR="007870CB">
        <w:rPr>
          <w:rFonts w:cstheme="minorHAnsi"/>
          <w:sz w:val="24"/>
          <w:szCs w:val="24"/>
        </w:rPr>
        <w:t xml:space="preserve">EAAL, kao </w:t>
      </w:r>
      <w:r w:rsidR="007870CB">
        <w:rPr>
          <w:rFonts w:cstheme="minorHAnsi"/>
          <w:sz w:val="24"/>
          <w:szCs w:val="24"/>
        </w:rPr>
        <w:lastRenderedPageBreak/>
        <w:t>svojevrsna nadopuna projektu EPALE, p</w:t>
      </w:r>
      <w:r w:rsidR="007870CB" w:rsidRPr="007870CB">
        <w:rPr>
          <w:rFonts w:cstheme="minorHAnsi"/>
          <w:sz w:val="24"/>
          <w:szCs w:val="24"/>
        </w:rPr>
        <w:t>osebnu pozornost posvećuje umrežavanju</w:t>
      </w:r>
      <w:r w:rsidR="007870CB">
        <w:rPr>
          <w:rFonts w:cstheme="minorHAnsi"/>
          <w:sz w:val="24"/>
          <w:szCs w:val="24"/>
        </w:rPr>
        <w:t xml:space="preserve"> </w:t>
      </w:r>
      <w:r w:rsidR="007870CB" w:rsidRPr="007870CB">
        <w:rPr>
          <w:rFonts w:cstheme="minorHAnsi"/>
          <w:sz w:val="24"/>
          <w:szCs w:val="24"/>
        </w:rPr>
        <w:t>sudionika obrazovanja odraslih na lokalnoj i državnoj razini, a u svrhu poboljšanja kvalitete obrazovanja odraslih.</w:t>
      </w:r>
      <w:r w:rsidR="007870CB">
        <w:rPr>
          <w:rFonts w:cstheme="minorHAnsi"/>
          <w:sz w:val="24"/>
          <w:szCs w:val="24"/>
        </w:rPr>
        <w:t xml:space="preserve"> Projekt je u</w:t>
      </w:r>
      <w:r w:rsidR="00145B1B" w:rsidRPr="002D5B31">
        <w:rPr>
          <w:rFonts w:cstheme="minorHAnsi"/>
          <w:sz w:val="24"/>
          <w:szCs w:val="24"/>
        </w:rPr>
        <w:t>smjeren</w:t>
      </w:r>
      <w:r w:rsidR="007870CB">
        <w:rPr>
          <w:rFonts w:cstheme="minorHAnsi"/>
          <w:sz w:val="24"/>
          <w:szCs w:val="24"/>
        </w:rPr>
        <w:t xml:space="preserve"> </w:t>
      </w:r>
      <w:r w:rsidR="00145B1B" w:rsidRPr="002D5B31">
        <w:rPr>
          <w:rFonts w:cstheme="minorHAnsi"/>
          <w:sz w:val="24"/>
          <w:szCs w:val="24"/>
        </w:rPr>
        <w:t xml:space="preserve">na </w:t>
      </w:r>
      <w:r w:rsidR="00BC2BEA" w:rsidRPr="002D5B31">
        <w:rPr>
          <w:rFonts w:cstheme="minorHAnsi"/>
          <w:sz w:val="24"/>
          <w:szCs w:val="24"/>
        </w:rPr>
        <w:t xml:space="preserve">daljnje osnaživanje </w:t>
      </w:r>
      <w:r w:rsidR="00145B1B" w:rsidRPr="002D5B31">
        <w:rPr>
          <w:rFonts w:cstheme="minorHAnsi"/>
          <w:sz w:val="24"/>
          <w:szCs w:val="24"/>
        </w:rPr>
        <w:t xml:space="preserve">sustava obrazovanja odraslih </w:t>
      </w:r>
      <w:r w:rsidR="00BC2BEA" w:rsidRPr="002D5B31">
        <w:rPr>
          <w:rFonts w:cstheme="minorHAnsi"/>
          <w:sz w:val="24"/>
          <w:szCs w:val="24"/>
        </w:rPr>
        <w:t>kroz aktivnosti u regiji,</w:t>
      </w:r>
      <w:r w:rsidR="00145B1B" w:rsidRPr="002D5B31">
        <w:rPr>
          <w:rFonts w:cstheme="minorHAnsi"/>
          <w:sz w:val="24"/>
          <w:szCs w:val="24"/>
        </w:rPr>
        <w:t xml:space="preserve"> kako bi </w:t>
      </w:r>
      <w:r w:rsidR="00BC2BEA" w:rsidRPr="002D5B31">
        <w:rPr>
          <w:rFonts w:cstheme="minorHAnsi"/>
          <w:sz w:val="24"/>
          <w:szCs w:val="24"/>
        </w:rPr>
        <w:t xml:space="preserve">u okviru tih regionalnih aktivnosti nadležne </w:t>
      </w:r>
      <w:r w:rsidR="00145B1B" w:rsidRPr="002D5B31">
        <w:rPr>
          <w:rFonts w:cstheme="minorHAnsi"/>
          <w:sz w:val="24"/>
          <w:szCs w:val="24"/>
        </w:rPr>
        <w:t>vlasti prepoznale važnost ovog sustava u okviru svoje obrazovne politike.</w:t>
      </w:r>
      <w:r w:rsidR="007870CB" w:rsidRPr="007870CB">
        <w:t xml:space="preserve"> </w:t>
      </w: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t>5. RESURSI I KAPACITETI POTREBNI ZA POSTIZANJE CILJEVA</w:t>
      </w:r>
      <w:bookmarkEnd w:id="8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A84AA9" w:rsidRPr="002D5B31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7870CB">
        <w:rPr>
          <w:rFonts w:cstheme="minorHAnsi"/>
          <w:sz w:val="24"/>
          <w:szCs w:val="24"/>
        </w:rPr>
        <w:t>i potrebno je izdvojiti 4.950</w:t>
      </w:r>
      <w:r w:rsidR="005E1AFB" w:rsidRPr="002D5B31">
        <w:rPr>
          <w:rFonts w:cstheme="minorHAnsi"/>
          <w:sz w:val="24"/>
          <w:szCs w:val="24"/>
        </w:rPr>
        <w:t>.</w:t>
      </w:r>
      <w:r w:rsidR="007870CB">
        <w:rPr>
          <w:rFonts w:cstheme="minorHAnsi"/>
          <w:sz w:val="24"/>
          <w:szCs w:val="24"/>
        </w:rPr>
        <w:t>0</w:t>
      </w:r>
      <w:r w:rsidR="00480855" w:rsidRPr="002D5B31">
        <w:rPr>
          <w:rFonts w:cstheme="minorHAnsi"/>
          <w:sz w:val="24"/>
          <w:szCs w:val="24"/>
        </w:rPr>
        <w:t>00</w:t>
      </w:r>
      <w:r w:rsidR="005E1AFB" w:rsidRPr="002D5B31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>00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KM iz proračuna institucija Bosne i Hercegovine</w:t>
      </w:r>
      <w:r w:rsidR="0036631A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7870CB">
        <w:rPr>
          <w:rFonts w:cstheme="minorHAnsi"/>
          <w:sz w:val="24"/>
          <w:szCs w:val="24"/>
        </w:rPr>
        <w:t>5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7870CB">
        <w:rPr>
          <w:rFonts w:cstheme="minorHAnsi"/>
          <w:sz w:val="24"/>
          <w:szCs w:val="24"/>
        </w:rPr>
        <w:t>7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="0036631A">
        <w:rPr>
          <w:rFonts w:cstheme="minorHAnsi"/>
          <w:sz w:val="24"/>
          <w:szCs w:val="24"/>
        </w:rPr>
        <w:t>, te još 500.000,00KM donatorskih sredstava za projekte programa ERASMUS+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U</w:t>
      </w:r>
      <w:r w:rsidR="0036631A">
        <w:rPr>
          <w:rFonts w:cstheme="minorHAnsi"/>
          <w:sz w:val="24"/>
          <w:szCs w:val="24"/>
        </w:rPr>
        <w:t>kupno to daje iznos od 5.450.000,00KM u</w:t>
      </w:r>
      <w:r w:rsidR="00370150" w:rsidRPr="002D5B31">
        <w:rPr>
          <w:rFonts w:cstheme="minorHAnsi"/>
          <w:sz w:val="24"/>
          <w:szCs w:val="24"/>
        </w:rPr>
        <w:t xml:space="preserve"> navedenom trogodišnjem razdoblju.</w:t>
      </w:r>
    </w:p>
    <w:p w:rsidR="0001377C" w:rsidRPr="002D5B3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Ovdje je potrebno istaći kako je Agencija</w:t>
      </w:r>
      <w:r w:rsidR="0036631A">
        <w:rPr>
          <w:rFonts w:cstheme="minorHAnsi"/>
          <w:sz w:val="24"/>
          <w:szCs w:val="24"/>
        </w:rPr>
        <w:t xml:space="preserve">, zbog nejasno definiranog političkog stajališta oko provedbe međunarodnih studija planirala samo osnovna sredstva potrebna za Ad </w:t>
      </w:r>
      <w:proofErr w:type="spellStart"/>
      <w:r w:rsidR="0036631A">
        <w:rPr>
          <w:rFonts w:cstheme="minorHAnsi"/>
          <w:sz w:val="24"/>
          <w:szCs w:val="24"/>
        </w:rPr>
        <w:t>hoc</w:t>
      </w:r>
      <w:proofErr w:type="spellEnd"/>
      <w:r w:rsidR="0036631A">
        <w:rPr>
          <w:rFonts w:cstheme="minorHAnsi"/>
          <w:sz w:val="24"/>
          <w:szCs w:val="24"/>
        </w:rPr>
        <w:t xml:space="preserve"> realizaciju. Međunarodna istraživanja </w:t>
      </w:r>
      <w:r w:rsidR="0001377C" w:rsidRPr="002D5B31">
        <w:rPr>
          <w:rFonts w:cstheme="minorHAnsi"/>
          <w:sz w:val="24"/>
          <w:szCs w:val="24"/>
        </w:rPr>
        <w:t xml:space="preserve">zahtijevaju </w:t>
      </w:r>
      <w:r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Pr="00F468E9" w:rsidRDefault="0036631A" w:rsidP="00E511E9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Također, p</w:t>
      </w:r>
      <w:r w:rsidR="00B951A5" w:rsidRPr="00FB2F5A">
        <w:rPr>
          <w:rFonts w:cstheme="minorHAnsi"/>
          <w:sz w:val="24"/>
          <w:szCs w:val="24"/>
        </w:rPr>
        <w:t xml:space="preserve">rovedbu, ali i planiranje aktivnosti Agencije, uvelike otežava </w:t>
      </w:r>
      <w:r w:rsidR="00E511E9" w:rsidRPr="00FB2F5A">
        <w:rPr>
          <w:rFonts w:cstheme="minorHAnsi"/>
          <w:sz w:val="24"/>
          <w:szCs w:val="24"/>
        </w:rPr>
        <w:t xml:space="preserve">nepostojanje </w:t>
      </w:r>
      <w:r>
        <w:rPr>
          <w:rFonts w:cstheme="minorHAnsi"/>
          <w:sz w:val="24"/>
          <w:szCs w:val="24"/>
        </w:rPr>
        <w:t>koordinirane reforme obrazovanja, odnosno prelaska na is</w:t>
      </w:r>
      <w:r w:rsidR="00400226">
        <w:rPr>
          <w:rFonts w:cstheme="minorHAnsi"/>
          <w:sz w:val="24"/>
          <w:szCs w:val="24"/>
        </w:rPr>
        <w:t>hode učenja, neujednačenog razvoja QF BiH</w:t>
      </w:r>
      <w:r w:rsidR="00F468E9" w:rsidRPr="005F3B1A">
        <w:rPr>
          <w:rFonts w:cstheme="minorHAnsi"/>
          <w:sz w:val="24"/>
          <w:szCs w:val="24"/>
        </w:rPr>
        <w:t xml:space="preserve"> i dr.</w:t>
      </w: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t>6. OKVIR ZA PRAĆENJE PROVOĐENJA PLANA I EVALUACIJU REZULTATA</w:t>
      </w:r>
      <w:bookmarkEnd w:id="9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  <w:r w:rsidR="00400226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D52D0A" w:rsidRPr="002D5B31" w:rsidRDefault="00D52D0A" w:rsidP="00D52D0A">
      <w:pPr>
        <w:spacing w:after="0"/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Pr="002D5B31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 xml:space="preserve">varivanju </w:t>
      </w:r>
      <w:r w:rsidR="00DC70F9" w:rsidRPr="00400226">
        <w:rPr>
          <w:rFonts w:cstheme="minorHAnsi"/>
          <w:sz w:val="24"/>
          <w:szCs w:val="24"/>
        </w:rPr>
        <w:t>pos</w:t>
      </w:r>
      <w:r w:rsidR="00400226">
        <w:rPr>
          <w:rFonts w:cstheme="minorHAnsi"/>
          <w:sz w:val="24"/>
          <w:szCs w:val="24"/>
        </w:rPr>
        <w:t>t</w:t>
      </w:r>
      <w:r w:rsidR="00DC70F9" w:rsidRPr="00400226">
        <w:rPr>
          <w:rFonts w:cstheme="minorHAnsi"/>
          <w:sz w:val="24"/>
          <w:szCs w:val="24"/>
        </w:rPr>
        <w:t>avljenih</w:t>
      </w:r>
      <w:r w:rsidR="00DC70F9">
        <w:rPr>
          <w:rFonts w:cstheme="minorHAnsi"/>
          <w:sz w:val="24"/>
          <w:szCs w:val="24"/>
        </w:rPr>
        <w:t xml:space="preserve"> ciljeva.</w:t>
      </w: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E511E9" w:rsidP="00400226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 xml:space="preserve">rojekt </w:t>
      </w:r>
      <w:r w:rsidR="00400226">
        <w:rPr>
          <w:rFonts w:cstheme="minorHAnsi"/>
          <w:sz w:val="24"/>
          <w:szCs w:val="24"/>
        </w:rPr>
        <w:t>1</w:t>
      </w:r>
      <w:r w:rsidR="00DC70F9">
        <w:rPr>
          <w:rFonts w:cstheme="minorHAnsi"/>
          <w:sz w:val="24"/>
          <w:szCs w:val="24"/>
        </w:rPr>
        <w:t>: „</w:t>
      </w:r>
      <w:r w:rsidR="00400226" w:rsidRPr="00400226">
        <w:rPr>
          <w:rFonts w:cstheme="minorHAnsi"/>
          <w:sz w:val="24"/>
          <w:szCs w:val="24"/>
        </w:rPr>
        <w:t>Provedene evaluacije primjene ZJNPP definirane na ishodima i razvijeni novi Standardi u predškolskom, osnovnom, srednjem općem i srednjem strukovnom obrazovanju.</w:t>
      </w:r>
      <w:r w:rsidR="00400226">
        <w:rPr>
          <w:rFonts w:cstheme="minorHAnsi"/>
          <w:sz w:val="24"/>
          <w:szCs w:val="24"/>
        </w:rPr>
        <w:t>“</w:t>
      </w:r>
    </w:p>
    <w:p w:rsidR="0001377C" w:rsidRPr="002D5B31" w:rsidRDefault="00C7151A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broj </w:t>
      </w:r>
      <w:r w:rsidR="00DC70F9">
        <w:rPr>
          <w:rFonts w:cstheme="minorHAnsi"/>
          <w:sz w:val="24"/>
          <w:szCs w:val="24"/>
        </w:rPr>
        <w:t>(</w:t>
      </w:r>
      <w:r w:rsidR="00400226">
        <w:rPr>
          <w:rFonts w:cstheme="minorHAnsi"/>
          <w:sz w:val="24"/>
          <w:szCs w:val="24"/>
        </w:rPr>
        <w:t>u</w:t>
      </w:r>
      <w:r w:rsidR="00DC70F9">
        <w:rPr>
          <w:rFonts w:cstheme="minorHAnsi"/>
          <w:sz w:val="24"/>
          <w:szCs w:val="24"/>
        </w:rPr>
        <w:t>rađenih dokumenata</w:t>
      </w:r>
      <w:r w:rsidR="00400226">
        <w:rPr>
          <w:rFonts w:cstheme="minorHAnsi"/>
          <w:sz w:val="24"/>
          <w:szCs w:val="24"/>
        </w:rPr>
        <w:t>/evaluacija/standarda</w:t>
      </w:r>
      <w:r w:rsidR="00DC70F9">
        <w:rPr>
          <w:rFonts w:cstheme="minorHAnsi"/>
          <w:sz w:val="24"/>
          <w:szCs w:val="24"/>
        </w:rPr>
        <w:t>)</w:t>
      </w:r>
    </w:p>
    <w:p w:rsidR="00E511E9" w:rsidRPr="002D5B31" w:rsidRDefault="00E511E9" w:rsidP="00400226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400226">
        <w:rPr>
          <w:rFonts w:cstheme="minorHAnsi"/>
          <w:sz w:val="24"/>
          <w:szCs w:val="24"/>
        </w:rPr>
        <w:t>2</w:t>
      </w:r>
      <w:r w:rsidRPr="002D5B31">
        <w:rPr>
          <w:rFonts w:cstheme="minorHAnsi"/>
          <w:sz w:val="24"/>
          <w:szCs w:val="24"/>
        </w:rPr>
        <w:t>:</w:t>
      </w:r>
      <w:r w:rsidR="00DC70F9">
        <w:rPr>
          <w:rFonts w:cstheme="minorHAnsi"/>
          <w:sz w:val="24"/>
          <w:szCs w:val="24"/>
        </w:rPr>
        <w:t xml:space="preserve"> „</w:t>
      </w:r>
      <w:r w:rsidR="00400226" w:rsidRPr="00400226">
        <w:rPr>
          <w:rFonts w:cstheme="minorHAnsi"/>
          <w:sz w:val="24"/>
          <w:szCs w:val="24"/>
        </w:rPr>
        <w:t>Usvojena izvješća urađena na temelju objektivnih pokazatelja (međunarodnih) istraživanja</w:t>
      </w:r>
      <w:r w:rsidR="00DC70F9" w:rsidRPr="00400226">
        <w:rPr>
          <w:rFonts w:cstheme="minorHAnsi"/>
          <w:sz w:val="24"/>
          <w:szCs w:val="24"/>
        </w:rPr>
        <w:t>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Pr="002D5B31" w:rsidRDefault="003C554B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522D08">
        <w:rPr>
          <w:rFonts w:cstheme="minorHAnsi"/>
          <w:sz w:val="24"/>
          <w:szCs w:val="24"/>
        </w:rPr>
        <w:t>(</w:t>
      </w:r>
      <w:r w:rsidR="00400226">
        <w:rPr>
          <w:rFonts w:cstheme="minorHAnsi"/>
          <w:sz w:val="24"/>
          <w:szCs w:val="24"/>
        </w:rPr>
        <w:t>izvješća</w:t>
      </w:r>
      <w:r w:rsidR="00522D08">
        <w:rPr>
          <w:rFonts w:cstheme="minorHAnsi"/>
          <w:sz w:val="24"/>
          <w:szCs w:val="24"/>
        </w:rPr>
        <w:t>)</w:t>
      </w:r>
      <w:r w:rsidR="00480855" w:rsidRPr="002D5B31">
        <w:rPr>
          <w:rFonts w:cstheme="minorHAnsi"/>
          <w:sz w:val="24"/>
          <w:szCs w:val="24"/>
        </w:rPr>
        <w:t xml:space="preserve"> </w:t>
      </w:r>
    </w:p>
    <w:p w:rsidR="00400226" w:rsidRDefault="00E511E9" w:rsidP="00400226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400226">
        <w:rPr>
          <w:rFonts w:cstheme="minorHAnsi"/>
          <w:sz w:val="24"/>
          <w:szCs w:val="24"/>
        </w:rPr>
        <w:t>3.</w:t>
      </w:r>
      <w:r w:rsidR="00522D08">
        <w:rPr>
          <w:rFonts w:cstheme="minorHAnsi"/>
          <w:sz w:val="24"/>
          <w:szCs w:val="24"/>
        </w:rPr>
        <w:t xml:space="preserve"> „</w:t>
      </w:r>
      <w:r w:rsidR="00400226" w:rsidRPr="00400226">
        <w:rPr>
          <w:rFonts w:cstheme="minorHAnsi"/>
          <w:sz w:val="24"/>
          <w:szCs w:val="24"/>
        </w:rPr>
        <w:t>Usvojena izvješća o realizaciji međunarodnih projekata ERASMUS+ programa</w:t>
      </w:r>
      <w:r w:rsidR="00400226">
        <w:rPr>
          <w:rFonts w:cstheme="minorHAnsi"/>
          <w:sz w:val="24"/>
          <w:szCs w:val="24"/>
        </w:rPr>
        <w:t>“</w:t>
      </w:r>
    </w:p>
    <w:p w:rsidR="00480855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Pr="002D5B31">
        <w:rPr>
          <w:rFonts w:cstheme="minorHAnsi"/>
          <w:sz w:val="24"/>
          <w:szCs w:val="24"/>
        </w:rPr>
        <w:t>us</w:t>
      </w:r>
      <w:r w:rsidR="00744491" w:rsidRPr="002D5B31">
        <w:rPr>
          <w:rFonts w:cstheme="minorHAnsi"/>
          <w:sz w:val="24"/>
          <w:szCs w:val="24"/>
        </w:rPr>
        <w:t>vojenih</w:t>
      </w:r>
      <w:r w:rsidRPr="002D5B31">
        <w:rPr>
          <w:rFonts w:cstheme="minorHAnsi"/>
          <w:sz w:val="24"/>
          <w:szCs w:val="24"/>
        </w:rPr>
        <w:t xml:space="preserve"> izvješća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10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0"/>
    </w:p>
    <w:p w:rsidR="008141AB" w:rsidRPr="002D5B31" w:rsidRDefault="008141AB" w:rsidP="008141AB">
      <w:pPr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400226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>pokazatelji za svaki pojedinačni projekt, kao i polazne i ciljane vrijednosti pokazatelja.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>, 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</w:t>
      </w:r>
      <w:r w:rsidR="00400226">
        <w:rPr>
          <w:rFonts w:asciiTheme="minorHAnsi" w:hAnsiTheme="minorHAnsi" w:cstheme="minorHAnsi"/>
        </w:rPr>
        <w:t>_</w:t>
      </w:r>
      <w:r w:rsidR="007C2E08">
        <w:rPr>
          <w:rFonts w:asciiTheme="minorHAnsi" w:hAnsiTheme="minorHAnsi" w:cstheme="minorHAnsi"/>
        </w:rPr>
        <w:t>_</w:t>
      </w:r>
      <w:r w:rsidR="00400226">
        <w:rPr>
          <w:rFonts w:asciiTheme="minorHAnsi" w:hAnsiTheme="minorHAnsi" w:cstheme="minorHAnsi"/>
        </w:rPr>
        <w:t>.____.2024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Pr="002D5B31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>Maja Stojkić</w:t>
      </w:r>
    </w:p>
    <w:p w:rsidR="00A10678" w:rsidRPr="002D5B31" w:rsidRDefault="00BF534A" w:rsidP="00A10678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</w:p>
    <w:p w:rsidR="0090705A" w:rsidRPr="002D5B31" w:rsidRDefault="0090705A" w:rsidP="0090705A">
      <w:pPr>
        <w:rPr>
          <w:rFonts w:cstheme="minorHAnsi"/>
          <w:sz w:val="24"/>
          <w:szCs w:val="24"/>
        </w:rPr>
      </w:pPr>
    </w:p>
    <w:p w:rsidR="00BF534A" w:rsidRPr="002D5B31" w:rsidRDefault="00DC65AB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15896454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1"/>
    </w:p>
    <w:p w:rsidR="0090705A" w:rsidRPr="002D5B31" w:rsidRDefault="0090705A" w:rsidP="0090705A">
      <w:pPr>
        <w:rPr>
          <w:rFonts w:cstheme="minorHAnsi"/>
          <w:sz w:val="24"/>
          <w:szCs w:val="24"/>
        </w:rPr>
      </w:pPr>
    </w:p>
    <w:p w:rsidR="005841C9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400226">
        <w:rPr>
          <w:rFonts w:cstheme="minorHAnsi"/>
          <w:sz w:val="24"/>
          <w:szCs w:val="24"/>
        </w:rPr>
        <w:t>za razdoblje 2025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522D08">
        <w:rPr>
          <w:rFonts w:cstheme="minorHAnsi"/>
          <w:sz w:val="24"/>
          <w:szCs w:val="24"/>
        </w:rPr>
        <w:t>3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investicijskih projekata/programa predviđenih Srednjoročnim </w:t>
      </w:r>
      <w:r w:rsidR="00E300C0">
        <w:rPr>
          <w:rFonts w:cstheme="minorHAnsi"/>
          <w:sz w:val="24"/>
          <w:szCs w:val="24"/>
        </w:rPr>
        <w:t>planom rada institucije Agencije</w:t>
      </w:r>
      <w:r w:rsidRPr="002D5B31">
        <w:rPr>
          <w:rFonts w:cstheme="minorHAnsi"/>
          <w:sz w:val="24"/>
          <w:szCs w:val="24"/>
        </w:rPr>
        <w:t xml:space="preserve">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E300C0" w:rsidRDefault="00E300C0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E300C0" w:rsidSect="00A34DF8">
          <w:footerReference w:type="default" r:id="rId8"/>
          <w:headerReference w:type="first" r:id="rId9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93"/>
        <w:tblW w:w="4954" w:type="pct"/>
        <w:tblLayout w:type="fixed"/>
        <w:tblLook w:val="04A0" w:firstRow="1" w:lastRow="0" w:firstColumn="1" w:lastColumn="0" w:noHBand="0" w:noVBand="1"/>
      </w:tblPr>
      <w:tblGrid>
        <w:gridCol w:w="944"/>
        <w:gridCol w:w="1117"/>
        <w:gridCol w:w="58"/>
        <w:gridCol w:w="994"/>
        <w:gridCol w:w="1331"/>
        <w:gridCol w:w="560"/>
        <w:gridCol w:w="1370"/>
        <w:gridCol w:w="444"/>
        <w:gridCol w:w="282"/>
        <w:gridCol w:w="142"/>
        <w:gridCol w:w="414"/>
        <w:gridCol w:w="243"/>
        <w:gridCol w:w="317"/>
        <w:gridCol w:w="411"/>
        <w:gridCol w:w="149"/>
        <w:gridCol w:w="583"/>
        <w:gridCol w:w="729"/>
        <w:gridCol w:w="822"/>
        <w:gridCol w:w="810"/>
        <w:gridCol w:w="703"/>
        <w:gridCol w:w="703"/>
        <w:gridCol w:w="418"/>
        <w:gridCol w:w="628"/>
        <w:gridCol w:w="567"/>
        <w:gridCol w:w="23"/>
        <w:gridCol w:w="745"/>
        <w:gridCol w:w="683"/>
      </w:tblGrid>
      <w:tr w:rsidR="00E300C0" w:rsidRPr="00E300C0" w:rsidTr="00034EB7">
        <w:trPr>
          <w:trHeight w:val="27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E300C0">
              <w:rPr>
                <w:rFonts w:ascii="Arial" w:eastAsia="Times New Roman" w:hAnsi="Arial" w:cs="Arial"/>
                <w:lang w:eastAsia="hr-HR"/>
              </w:rPr>
              <w:lastRenderedPageBreak/>
              <w:tab/>
            </w:r>
            <w:r w:rsidRPr="00E300C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AKCIONI PLAN SREDNJOROČNOG PLANA RADA INSTITUCIJE - Agencija za predškolsko, osnovno i srednje obrazovanje 2025. – 2027.</w:t>
            </w:r>
          </w:p>
        </w:tc>
      </w:tr>
      <w:tr w:rsidR="00E300C0" w:rsidRPr="00E300C0" w:rsidTr="00034EB7">
        <w:trPr>
          <w:trHeight w:val="264"/>
        </w:trPr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Strateški cilj III: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DRUŠTVO JEDNAKIH MOGUĆNOSTI</w:t>
            </w:r>
          </w:p>
        </w:tc>
      </w:tr>
      <w:tr w:rsidR="00E300C0" w:rsidRPr="00E300C0" w:rsidTr="00034EB7">
        <w:trPr>
          <w:trHeight w:val="261"/>
        </w:trPr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Prioritet 2: </w:t>
            </w:r>
          </w:p>
        </w:tc>
        <w:tc>
          <w:tcPr>
            <w:tcW w:w="4363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Unaprijediti politike iz oblasti obrazovanja</w:t>
            </w:r>
          </w:p>
        </w:tc>
      </w:tr>
      <w:tr w:rsidR="00E300C0" w:rsidRPr="00E300C0" w:rsidTr="00034EB7">
        <w:trPr>
          <w:trHeight w:val="3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</w:t>
            </w:r>
          </w:p>
        </w:tc>
      </w:tr>
      <w:tr w:rsidR="00E300C0" w:rsidRPr="00E300C0" w:rsidTr="00034EB7">
        <w:trPr>
          <w:trHeight w:val="420"/>
        </w:trPr>
        <w:tc>
          <w:tcPr>
            <w:tcW w:w="1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Okvir za mjerenje ostvarenja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Procjena troškova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E300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300C0" w:rsidRPr="00E300C0" w:rsidTr="00034EB7">
        <w:trPr>
          <w:trHeight w:val="64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</w:t>
            </w:r>
          </w:p>
        </w:tc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ciljevi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Programi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Projekt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Institucija odgovorna za implementaciju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Pokazatelj</w:t>
            </w: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Jedinica mjerenja (%, broj ili opisno)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Polazna</w:t>
            </w: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2024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2025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2027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2025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2026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2027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 troškovi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Proračun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Krediti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Donacije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Ostali izvori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u DOP-u</w:t>
            </w:r>
          </w:p>
        </w:tc>
      </w:tr>
      <w:tr w:rsidR="00E300C0" w:rsidRPr="00E300C0" w:rsidTr="00034EB7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</w:tr>
      <w:tr w:rsidR="00E300C0" w:rsidRPr="00E300C0" w:rsidTr="00034EB7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cilj:</w:t>
            </w:r>
          </w:p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Unaprjeđenje politika, izvršenje međunarodnih obaveza i razvoj kvalitete u oblasti obrazovanja u BiH</w:t>
            </w:r>
          </w:p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APOSO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B7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  <w:p w:rsidR="00E300C0" w:rsidRDefault="00E300C0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Implementirane preporuke za unapređenje obrazovnih politika i kvalitete odgoja i obrazovanja u BiH na temelju provedenih međunarodnih istraživanja, ishoda učenja i uspostavljenih standarda u osnovnom, srednjem, srednjem strukovnom obrazovanju i obrazovanju odraslih</w:t>
            </w:r>
          </w:p>
          <w:p w:rsidR="00034EB7" w:rsidRPr="00E300C0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0" w:rsidRPr="00E300C0" w:rsidRDefault="00E300C0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Broj preporuka i standarda za unapređenje obrazovnih politika i kvalitete odgoja i obrazovanja u BiH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61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69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1.600.000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1.650.000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1.700.000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4.950.000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0" w:rsidRPr="00E300C0" w:rsidRDefault="00E300C0" w:rsidP="00034E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500.000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C0" w:rsidRPr="00E300C0" w:rsidRDefault="00E300C0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5.450.000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C0" w:rsidRPr="00E300C0" w:rsidRDefault="00E300C0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7311A6" w:rsidRPr="00E300C0" w:rsidTr="00034EB7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Specifični cilj : </w:t>
            </w: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Provedba evaluacije  ZJNPP definirane na ishodima učenja, razvoj standarda u predškolskom, osnovnom, srednjem općem i srednjem strukovnom</w:t>
            </w: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</w:t>
            </w: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obrazovanju, provedba istraživanja u obrazovanju te provedba ERASMUS + projekata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 </w:t>
            </w:r>
          </w:p>
          <w:p w:rsidR="007311A6" w:rsidRPr="00E300C0" w:rsidRDefault="007311A6" w:rsidP="00034EB7">
            <w:pPr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Provedene evaluacije, razvijeni novi standardi znanja, standardi zanimanja i kvalifikacija, kao i standardi kvalitete rada, provedena međunarodna istraživanja i provedeni preuzeti projekti ERASMUS+ programa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Broj urađenih dokumenata (evaluacija/standarda/izvješća)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61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69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1.600.000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1.650.000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1.700.000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4.950.000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500.000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5.450.000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2753E4" w:rsidRPr="00E300C0" w:rsidTr="00034EB7">
        <w:trPr>
          <w:trHeight w:val="25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1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:</w:t>
            </w:r>
          </w:p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Evaluacija i razvoj zajedničke jezgre nastavnih planova i programa (ZJNPP), uspostava standarda i ocjenjivanje postignutih</w:t>
            </w:r>
            <w:r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 </w:t>
            </w: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 rezultata u predškolskom, osnovnom i srednjem obrazovanju i drugi stručni poslovi u oblasti standarda znanja i ocjenjivanja</w:t>
            </w:r>
            <w:r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 kvalitete obrazovanja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B7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  <w:p w:rsidR="002753E4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Provedene evaluacije primjene ZJNPP definirane na ishodima i razvijeni novi Standardi u predškolskom, osnovnom, srednjem općem i srednjem strukovnom obrazovanju.</w:t>
            </w:r>
          </w:p>
          <w:p w:rsidR="00034EB7" w:rsidRPr="00E300C0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Broj urađenih dokumenata (evaluacija/standarda)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27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32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36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1.366.000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1.385.000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1.400.000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E4" w:rsidRPr="00E300C0" w:rsidRDefault="002753E4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2753E4" w:rsidRPr="00E300C0" w:rsidTr="00034EB7">
        <w:trPr>
          <w:trHeight w:val="25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B7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  <w:p w:rsidR="002753E4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Usvojena izvješća urađena na temelju objektivnih pokazatelja (međunarodnih) istraživanja </w:t>
            </w:r>
          </w:p>
          <w:p w:rsidR="00034EB7" w:rsidRPr="00E300C0" w:rsidRDefault="00034EB7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Broj izvješća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154.000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180.000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213.000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2753E4" w:rsidRPr="00E300C0" w:rsidTr="00034EB7">
        <w:trPr>
          <w:trHeight w:val="25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Usvojena izvješća o realizaciji međunarodnih projekata ERASMUS+ programa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Broj izvješća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80.000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85.000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87.000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252.000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252.000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500.000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E4" w:rsidRPr="00E300C0" w:rsidRDefault="002753E4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752.000</w:t>
            </w:r>
          </w:p>
        </w:tc>
        <w:tc>
          <w:tcPr>
            <w:tcW w:w="2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3E4" w:rsidRPr="00E300C0" w:rsidRDefault="002753E4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7311A6" w:rsidRPr="00E300C0" w:rsidTr="00034EB7">
        <w:trPr>
          <w:trHeight w:val="841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Unapređenje kvalitete predškolskog, osnovnog, srednjeg općeg i srednjeg strukovnog obrazovanja u BIH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2753E4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Broj provedenih evaluacija i izrađenih standarda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Broj 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993170" w:rsidP="00034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993170" w:rsidP="00034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034EB7" w:rsidP="00034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034EB7" w:rsidP="00034E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1.366.000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1.385.000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1.400.000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jc w:val="center"/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4.151.000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7311A6" w:rsidRPr="00E300C0" w:rsidTr="00034EB7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Provedba (međunarodnih)  istraživanja u obrazovanju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993170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Broj provedenih </w:t>
            </w:r>
            <w:r w:rsidR="007311A6"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 (međunarodnih) istraživanja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Broj 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154.000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180.000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213.000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547.000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7311A6" w:rsidRPr="00E300C0" w:rsidTr="00034EB7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Provedba međunarodnih projekata iz ERASMUS+</w:t>
            </w:r>
            <w:r w:rsidRPr="00E300C0">
              <w:rPr>
                <w:sz w:val="11"/>
                <w:szCs w:val="11"/>
              </w:rPr>
              <w:t xml:space="preserve"> </w:t>
            </w:r>
            <w:r w:rsidRPr="00E300C0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993170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Broj provedenih izvješća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 xml:space="preserve">Broj 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993170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993170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034EB7" w:rsidP="00034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80.000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85.000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 w:rsidRPr="00E300C0">
              <w:rPr>
                <w:rFonts w:eastAsia="Times New Roman" w:cstheme="minorHAnsi"/>
                <w:sz w:val="11"/>
                <w:szCs w:val="11"/>
                <w:lang w:eastAsia="hr-HR"/>
              </w:rPr>
              <w:t>87.000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252.000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252.000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500.000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6" w:rsidRPr="00E300C0" w:rsidRDefault="007311A6" w:rsidP="00034EB7">
            <w:pPr>
              <w:rPr>
                <w:sz w:val="12"/>
                <w:szCs w:val="12"/>
              </w:rPr>
            </w:pPr>
            <w:r w:rsidRPr="00E300C0">
              <w:rPr>
                <w:sz w:val="12"/>
                <w:szCs w:val="12"/>
              </w:rPr>
              <w:t>752.000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A6" w:rsidRPr="00E300C0" w:rsidRDefault="007311A6" w:rsidP="00034E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</w:tbl>
    <w:p w:rsidR="00571A81" w:rsidRDefault="00571A81" w:rsidP="00571A81">
      <w:pPr>
        <w:spacing w:before="240"/>
        <w:ind w:left="2832"/>
        <w:jc w:val="both"/>
        <w:rPr>
          <w:b/>
          <w:sz w:val="24"/>
          <w:szCs w:val="24"/>
        </w:rPr>
      </w:pPr>
    </w:p>
    <w:p w:rsidR="00530B83" w:rsidRDefault="005841C9" w:rsidP="00571A81">
      <w:pPr>
        <w:spacing w:before="24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p w:rsidR="00E300C0" w:rsidRDefault="00E300C0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034EB7" w:rsidRDefault="00034EB7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034EB7" w:rsidRDefault="00034EB7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034EB7" w:rsidRDefault="00034EB7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  <w:bookmarkStart w:id="12" w:name="_GoBack"/>
      <w:bookmarkEnd w:id="12"/>
    </w:p>
    <w:p w:rsidR="002753E4" w:rsidRDefault="002753E4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E300C0" w:rsidRPr="00E300C0" w:rsidRDefault="00E300C0" w:rsidP="00E300C0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</w:r>
      <w:r w:rsidR="00E50863">
        <w:rPr>
          <w:rFonts w:cs="Arial"/>
          <w:b/>
          <w:sz w:val="24"/>
          <w:szCs w:val="24"/>
          <w:lang w:val="bs-Latn-BA"/>
        </w:rPr>
        <w:t xml:space="preserve">PRILOG </w:t>
      </w:r>
      <w:r w:rsidRPr="00E300C0">
        <w:rPr>
          <w:rFonts w:cs="Arial"/>
          <w:b/>
          <w:sz w:val="24"/>
          <w:szCs w:val="24"/>
          <w:lang w:val="bs-Latn-BA"/>
        </w:rPr>
        <w:t xml:space="preserve">2: PREGLED ZAKONA, DRUGIH PROPISA I RAZVOJNO-INVESTICIONIH PROJEKATA/PROGRAMA PREDVIĐENIH </w:t>
      </w:r>
    </w:p>
    <w:p w:rsidR="00E300C0" w:rsidRDefault="00E300C0" w:rsidP="00E300C0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  <w:r w:rsidRPr="00E300C0">
        <w:rPr>
          <w:rFonts w:cs="Arial"/>
          <w:b/>
          <w:sz w:val="24"/>
          <w:szCs w:val="24"/>
          <w:lang w:val="bs-Latn-BA"/>
        </w:rPr>
        <w:t xml:space="preserve">              </w:t>
      </w:r>
      <w:r>
        <w:rPr>
          <w:rFonts w:cs="Arial"/>
          <w:b/>
          <w:sz w:val="24"/>
          <w:szCs w:val="24"/>
          <w:lang w:val="bs-Latn-BA"/>
        </w:rPr>
        <w:tab/>
      </w:r>
      <w:r w:rsidRPr="00E300C0">
        <w:rPr>
          <w:rFonts w:cs="Arial"/>
          <w:b/>
          <w:sz w:val="24"/>
          <w:szCs w:val="24"/>
          <w:lang w:val="bs-Latn-BA"/>
        </w:rPr>
        <w:t xml:space="preserve">SREDNJOROČNIM PROGRAMOM RADA </w:t>
      </w:r>
      <w:r w:rsidR="00E50863" w:rsidRPr="00E50863">
        <w:rPr>
          <w:rFonts w:cs="Arial"/>
          <w:b/>
          <w:sz w:val="24"/>
          <w:szCs w:val="24"/>
          <w:lang w:val="bs-Latn-BA"/>
        </w:rPr>
        <w:t>INSTITUCIJE AGENCIJE ZA PREDŠKOLSKO, OSNOVNO I SREDNJE OBRAZOVANJE</w:t>
      </w:r>
    </w:p>
    <w:p w:rsidR="00E50863" w:rsidRPr="00E300C0" w:rsidRDefault="00E50863" w:rsidP="00E300C0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</w:p>
    <w:tbl>
      <w:tblPr>
        <w:tblStyle w:val="Reetkatablice"/>
        <w:tblW w:w="14218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2244"/>
        <w:gridCol w:w="1862"/>
        <w:gridCol w:w="1945"/>
        <w:gridCol w:w="1570"/>
        <w:gridCol w:w="1407"/>
        <w:gridCol w:w="1032"/>
        <w:gridCol w:w="2693"/>
        <w:gridCol w:w="1465"/>
      </w:tblGrid>
      <w:tr w:rsidR="00E300C0" w:rsidRPr="00E300C0" w:rsidTr="00E300C0">
        <w:trPr>
          <w:trHeight w:val="616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50863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PREGLED ZAKONA, DRUGIH PROPISA I RAZVOJNO-INVESTICIONIH PROJEKATA/PROGRAMA PREDVIĐENIH SRED</w:t>
            </w:r>
            <w:r w:rsidR="00E50863">
              <w:rPr>
                <w:rFonts w:ascii="Arial Narrow" w:hAnsi="Arial Narrow"/>
                <w:bCs/>
                <w:lang w:val="hr-BA"/>
              </w:rPr>
              <w:t xml:space="preserve">NJOROČNIM PROGRAMOM RADA </w:t>
            </w:r>
            <w:r w:rsidRPr="00E300C0">
              <w:rPr>
                <w:rFonts w:ascii="Arial Narrow" w:hAnsi="Arial Narrow"/>
                <w:bCs/>
                <w:lang w:val="hr-BA"/>
              </w:rPr>
              <w:t xml:space="preserve">ZA </w:t>
            </w:r>
            <w:r w:rsidR="00E50863">
              <w:rPr>
                <w:rFonts w:ascii="Arial Narrow" w:hAnsi="Arial Narrow"/>
                <w:bCs/>
                <w:lang w:val="hr-BA"/>
              </w:rPr>
              <w:t xml:space="preserve">RAZDOBLJE </w:t>
            </w:r>
            <w:r w:rsidRPr="00E300C0">
              <w:rPr>
                <w:rFonts w:ascii="Arial Narrow" w:hAnsi="Arial Narrow"/>
                <w:bCs/>
                <w:lang w:val="hr-BA"/>
              </w:rPr>
              <w:t>2025-2027.GODINE</w:t>
            </w:r>
          </w:p>
        </w:tc>
      </w:tr>
      <w:tr w:rsidR="00E300C0" w:rsidRPr="00E300C0" w:rsidTr="00E300C0">
        <w:trPr>
          <w:trHeight w:val="4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Strateški cilj:</w:t>
            </w:r>
          </w:p>
        </w:tc>
        <w:tc>
          <w:tcPr>
            <w:tcW w:w="1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3. DRUŠTVO JEDNAKIH MOGUĆNOSTI</w:t>
            </w:r>
          </w:p>
        </w:tc>
      </w:tr>
      <w:tr w:rsidR="00E300C0" w:rsidRPr="00E300C0" w:rsidTr="00E300C0">
        <w:trPr>
          <w:trHeight w:val="4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Prioritet:</w:t>
            </w:r>
          </w:p>
        </w:tc>
        <w:tc>
          <w:tcPr>
            <w:tcW w:w="1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2. Unaprijediti politike iz oblasti obrazovanja</w:t>
            </w:r>
          </w:p>
        </w:tc>
      </w:tr>
      <w:tr w:rsidR="00E300C0" w:rsidRPr="00E300C0" w:rsidTr="00E300C0">
        <w:trPr>
          <w:trHeight w:val="35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8</w:t>
            </w:r>
          </w:p>
        </w:tc>
      </w:tr>
      <w:tr w:rsidR="00E300C0" w:rsidRPr="00E300C0" w:rsidTr="00E300C0">
        <w:trPr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Srednjoročni cilj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 xml:space="preserve"> Programi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 xml:space="preserve">ZAKONI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PODZAKONSKI AKTI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ind w:right="-119"/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Usklađivanje s pravnim naslijeđem EU (DA ili NE)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Planirani period za DONOŠENJE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NAZIV PROJEKTA JAVNIH INVESTICIJA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C0" w:rsidRPr="00E300C0" w:rsidRDefault="00E300C0" w:rsidP="00E300C0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Očekivani PERIOD REALIZACIJE</w:t>
            </w:r>
          </w:p>
        </w:tc>
      </w:tr>
      <w:tr w:rsidR="002753E4" w:rsidRPr="00E300C0" w:rsidTr="002E072E">
        <w:trPr>
          <w:trHeight w:val="25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Srednjoročni cilj 1</w:t>
            </w:r>
          </w:p>
          <w:p w:rsidR="002753E4" w:rsidRPr="00E300C0" w:rsidRDefault="002753E4" w:rsidP="002753E4">
            <w:pPr>
              <w:rPr>
                <w:rFonts w:ascii="Arial Narrow" w:eastAsia="Times New Roman" w:hAnsi="Arial Narrow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ascii="Arial Narrow" w:eastAsia="Times New Roman" w:hAnsi="Arial Narrow" w:cstheme="minorHAnsi"/>
                <w:bCs/>
                <w:sz w:val="18"/>
                <w:szCs w:val="18"/>
                <w:lang w:val="hr-BA" w:eastAsia="hr-HR"/>
              </w:rPr>
              <w:t>Unaprjeđenje politika, izvršenje međunarodnih obaveza i razvoj kvalitete u oblasti obrazovanja u BiH</w:t>
            </w:r>
          </w:p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Program 1.1</w:t>
            </w:r>
          </w:p>
          <w:p w:rsidR="002753E4" w:rsidRPr="00E300C0" w:rsidRDefault="002753E4" w:rsidP="002753E4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E300C0">
              <w:rPr>
                <w:rFonts w:ascii="Arial Narrow" w:hAnsi="Arial Narrow"/>
                <w:bCs/>
                <w:sz w:val="18"/>
                <w:szCs w:val="18"/>
                <w:lang w:val="hr-BA"/>
              </w:rPr>
              <w:t>Evaluacija i razvoj zajedničke jezgre nastavnih planova i programa (ZJNPP), uspostava standarda i ocjenjivanje postignutih rezultata u predškolskom, osnovnom i srednjem obrazovanju i drugi stručni poslovi u oblasti standarda znanja i ocjenjivanja kvalitete obrazovanja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IBIH-APOSO-39</w:t>
            </w:r>
          </w:p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Elektronska platforma za obrazovanje odraslih - EPALE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2023.- 2025.</w:t>
            </w:r>
          </w:p>
        </w:tc>
      </w:tr>
      <w:tr w:rsidR="002753E4" w:rsidRPr="00E300C0" w:rsidTr="002E072E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IBIH-APOSO-41</w:t>
            </w:r>
          </w:p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Elektronska platforma za obrazovanje odraslih – EPALE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2025.-2027.</w:t>
            </w:r>
          </w:p>
        </w:tc>
      </w:tr>
      <w:tr w:rsidR="002753E4" w:rsidRPr="00E300C0" w:rsidTr="002E072E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IBIH-APOSO-42</w:t>
            </w:r>
          </w:p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eTwinning projekt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2024. – 2026.</w:t>
            </w:r>
          </w:p>
        </w:tc>
      </w:tr>
      <w:tr w:rsidR="002753E4" w:rsidRPr="00E300C0" w:rsidTr="002753E4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IBIH-APOSO-43</w:t>
            </w:r>
          </w:p>
          <w:p w:rsidR="002753E4" w:rsidRPr="00E300C0" w:rsidRDefault="002753E4" w:rsidP="002753E4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 xml:space="preserve">Europska </w:t>
            </w:r>
            <w:proofErr w:type="spellStart"/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Agenda</w:t>
            </w:r>
            <w:proofErr w:type="spellEnd"/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 xml:space="preserve"> za obrazovanje odraslih EAAL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300C0" w:rsidRDefault="002753E4" w:rsidP="002753E4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2024. – 2026.</w:t>
            </w:r>
          </w:p>
        </w:tc>
      </w:tr>
    </w:tbl>
    <w:p w:rsidR="00E300C0" w:rsidRPr="00535571" w:rsidRDefault="00E300C0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</w:p>
    <w:sectPr w:rsidR="00E300C0" w:rsidRPr="00535571" w:rsidSect="00571A81">
      <w:headerReference w:type="first" r:id="rId10"/>
      <w:pgSz w:w="16838" w:h="11906" w:orient="landscape"/>
      <w:pgMar w:top="567" w:right="244" w:bottom="142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B1" w:rsidRDefault="00A00FB1" w:rsidP="00414D74">
      <w:pPr>
        <w:spacing w:after="0" w:line="240" w:lineRule="auto"/>
      </w:pPr>
      <w:r>
        <w:separator/>
      </w:r>
    </w:p>
  </w:endnote>
  <w:endnote w:type="continuationSeparator" w:id="0">
    <w:p w:rsidR="00A00FB1" w:rsidRDefault="00A00FB1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352" w:rsidRDefault="003E435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4352" w:rsidRPr="00A34DF8" w:rsidRDefault="003E4352" w:rsidP="00A34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B1" w:rsidRDefault="00A00FB1" w:rsidP="00414D74">
      <w:pPr>
        <w:spacing w:after="0" w:line="240" w:lineRule="auto"/>
      </w:pPr>
      <w:r>
        <w:separator/>
      </w:r>
    </w:p>
  </w:footnote>
  <w:footnote w:type="continuationSeparator" w:id="0">
    <w:p w:rsidR="00A00FB1" w:rsidRDefault="00A00FB1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74"/>
      <w:gridCol w:w="1433"/>
      <w:gridCol w:w="3665"/>
    </w:tblGrid>
    <w:tr w:rsidR="003E4352" w:rsidRPr="002D5B31" w:rsidTr="006A4E92">
      <w:trPr>
        <w:trHeight w:val="716"/>
      </w:trPr>
      <w:tc>
        <w:tcPr>
          <w:tcW w:w="2190" w:type="pct"/>
        </w:tcPr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790" w:type="pct"/>
        </w:tcPr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5pt;height:44.6pt">
                <v:imagedata r:id="rId1" o:title=""/>
              </v:shape>
              <o:OLEObject Type="Embed" ProgID="PBrush" ShapeID="_x0000_i1025" DrawAspect="Content" ObjectID="_1781591915" r:id="rId2"/>
            </w:object>
          </w:r>
        </w:p>
      </w:tc>
      <w:tc>
        <w:tcPr>
          <w:tcW w:w="2020" w:type="pct"/>
        </w:tcPr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3E4352" w:rsidRPr="002D5B31" w:rsidRDefault="003E4352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3E4352" w:rsidRDefault="003E43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B7" w:rsidRPr="00A34DF8" w:rsidRDefault="00034EB7" w:rsidP="00A34D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B"/>
    <w:rsid w:val="000058DE"/>
    <w:rsid w:val="0001377C"/>
    <w:rsid w:val="00015155"/>
    <w:rsid w:val="000202DE"/>
    <w:rsid w:val="0002118F"/>
    <w:rsid w:val="00024393"/>
    <w:rsid w:val="00034EB7"/>
    <w:rsid w:val="00041658"/>
    <w:rsid w:val="000502A0"/>
    <w:rsid w:val="0007671B"/>
    <w:rsid w:val="00084B12"/>
    <w:rsid w:val="00090F41"/>
    <w:rsid w:val="00091F61"/>
    <w:rsid w:val="000A2C7D"/>
    <w:rsid w:val="000B117A"/>
    <w:rsid w:val="000C71EA"/>
    <w:rsid w:val="000F08BD"/>
    <w:rsid w:val="00101049"/>
    <w:rsid w:val="001035C0"/>
    <w:rsid w:val="001175E6"/>
    <w:rsid w:val="00121752"/>
    <w:rsid w:val="00125F36"/>
    <w:rsid w:val="0013702C"/>
    <w:rsid w:val="00145B1B"/>
    <w:rsid w:val="00146095"/>
    <w:rsid w:val="00146E5A"/>
    <w:rsid w:val="0015092C"/>
    <w:rsid w:val="00164B0D"/>
    <w:rsid w:val="001834CF"/>
    <w:rsid w:val="0018742F"/>
    <w:rsid w:val="001A0246"/>
    <w:rsid w:val="001A4737"/>
    <w:rsid w:val="001B576D"/>
    <w:rsid w:val="001B61D4"/>
    <w:rsid w:val="001F05DA"/>
    <w:rsid w:val="001F250F"/>
    <w:rsid w:val="00206A2E"/>
    <w:rsid w:val="00217385"/>
    <w:rsid w:val="00226E69"/>
    <w:rsid w:val="0023485C"/>
    <w:rsid w:val="0023514F"/>
    <w:rsid w:val="00240BCE"/>
    <w:rsid w:val="00241228"/>
    <w:rsid w:val="002508FE"/>
    <w:rsid w:val="00250DFB"/>
    <w:rsid w:val="00255AE4"/>
    <w:rsid w:val="002663A4"/>
    <w:rsid w:val="002749DE"/>
    <w:rsid w:val="002753E4"/>
    <w:rsid w:val="00280561"/>
    <w:rsid w:val="00284436"/>
    <w:rsid w:val="00291027"/>
    <w:rsid w:val="00297225"/>
    <w:rsid w:val="00297BAD"/>
    <w:rsid w:val="002A0BD1"/>
    <w:rsid w:val="002A121F"/>
    <w:rsid w:val="002A2E35"/>
    <w:rsid w:val="002A3DE6"/>
    <w:rsid w:val="002C4415"/>
    <w:rsid w:val="002C58F0"/>
    <w:rsid w:val="002D5B31"/>
    <w:rsid w:val="002E7E7D"/>
    <w:rsid w:val="0030534C"/>
    <w:rsid w:val="003225E5"/>
    <w:rsid w:val="00334E2D"/>
    <w:rsid w:val="003660EE"/>
    <w:rsid w:val="0036631A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4352"/>
    <w:rsid w:val="003E771F"/>
    <w:rsid w:val="00400226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20F1"/>
    <w:rsid w:val="00473746"/>
    <w:rsid w:val="00480855"/>
    <w:rsid w:val="00487824"/>
    <w:rsid w:val="004A049F"/>
    <w:rsid w:val="004B1543"/>
    <w:rsid w:val="00506BFC"/>
    <w:rsid w:val="00511A57"/>
    <w:rsid w:val="00522D08"/>
    <w:rsid w:val="00530B83"/>
    <w:rsid w:val="00535571"/>
    <w:rsid w:val="005367BB"/>
    <w:rsid w:val="00546DF2"/>
    <w:rsid w:val="005619FB"/>
    <w:rsid w:val="0056558E"/>
    <w:rsid w:val="00571A81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611CF"/>
    <w:rsid w:val="00676560"/>
    <w:rsid w:val="0068040E"/>
    <w:rsid w:val="006845FD"/>
    <w:rsid w:val="006902B3"/>
    <w:rsid w:val="006A4E92"/>
    <w:rsid w:val="006A58DE"/>
    <w:rsid w:val="006E531D"/>
    <w:rsid w:val="006F3671"/>
    <w:rsid w:val="00700250"/>
    <w:rsid w:val="00702582"/>
    <w:rsid w:val="007036C6"/>
    <w:rsid w:val="00725648"/>
    <w:rsid w:val="007311A6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870CB"/>
    <w:rsid w:val="00795114"/>
    <w:rsid w:val="007A5D0E"/>
    <w:rsid w:val="007B5939"/>
    <w:rsid w:val="007B6817"/>
    <w:rsid w:val="007C2E08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86BA3"/>
    <w:rsid w:val="008A653D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331D4"/>
    <w:rsid w:val="0094166D"/>
    <w:rsid w:val="00961EED"/>
    <w:rsid w:val="009662F0"/>
    <w:rsid w:val="00975C42"/>
    <w:rsid w:val="00984793"/>
    <w:rsid w:val="00984D5B"/>
    <w:rsid w:val="00993170"/>
    <w:rsid w:val="009A391D"/>
    <w:rsid w:val="009C715B"/>
    <w:rsid w:val="009D447A"/>
    <w:rsid w:val="009E0E01"/>
    <w:rsid w:val="009E2BA5"/>
    <w:rsid w:val="00A000D7"/>
    <w:rsid w:val="00A00FB1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50931"/>
    <w:rsid w:val="00A63520"/>
    <w:rsid w:val="00A84AA9"/>
    <w:rsid w:val="00AA0311"/>
    <w:rsid w:val="00AC0A2B"/>
    <w:rsid w:val="00AC4C83"/>
    <w:rsid w:val="00AC7D65"/>
    <w:rsid w:val="00AD1497"/>
    <w:rsid w:val="00AD5B27"/>
    <w:rsid w:val="00B32A84"/>
    <w:rsid w:val="00B34995"/>
    <w:rsid w:val="00B40D11"/>
    <w:rsid w:val="00B45221"/>
    <w:rsid w:val="00B47B9B"/>
    <w:rsid w:val="00B60D50"/>
    <w:rsid w:val="00B71D84"/>
    <w:rsid w:val="00B74D2B"/>
    <w:rsid w:val="00B951A5"/>
    <w:rsid w:val="00B964F1"/>
    <w:rsid w:val="00BA465C"/>
    <w:rsid w:val="00BA6C3A"/>
    <w:rsid w:val="00BC0476"/>
    <w:rsid w:val="00BC2BEA"/>
    <w:rsid w:val="00BC6DE2"/>
    <w:rsid w:val="00BD261F"/>
    <w:rsid w:val="00BE4090"/>
    <w:rsid w:val="00BE551F"/>
    <w:rsid w:val="00BF534A"/>
    <w:rsid w:val="00BF556F"/>
    <w:rsid w:val="00C01E4F"/>
    <w:rsid w:val="00C14571"/>
    <w:rsid w:val="00C216F4"/>
    <w:rsid w:val="00C40B55"/>
    <w:rsid w:val="00C41054"/>
    <w:rsid w:val="00C5424B"/>
    <w:rsid w:val="00C62AF8"/>
    <w:rsid w:val="00C64759"/>
    <w:rsid w:val="00C65785"/>
    <w:rsid w:val="00C7151A"/>
    <w:rsid w:val="00C85591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81D1E"/>
    <w:rsid w:val="00D92DAE"/>
    <w:rsid w:val="00D949D6"/>
    <w:rsid w:val="00D951E3"/>
    <w:rsid w:val="00DB7523"/>
    <w:rsid w:val="00DC2230"/>
    <w:rsid w:val="00DC473E"/>
    <w:rsid w:val="00DC5D02"/>
    <w:rsid w:val="00DC65AB"/>
    <w:rsid w:val="00DC70F9"/>
    <w:rsid w:val="00DF285D"/>
    <w:rsid w:val="00E05882"/>
    <w:rsid w:val="00E07B7B"/>
    <w:rsid w:val="00E15AFA"/>
    <w:rsid w:val="00E26141"/>
    <w:rsid w:val="00E300C0"/>
    <w:rsid w:val="00E340D8"/>
    <w:rsid w:val="00E36596"/>
    <w:rsid w:val="00E478D6"/>
    <w:rsid w:val="00E50863"/>
    <w:rsid w:val="00E511E9"/>
    <w:rsid w:val="00E66B93"/>
    <w:rsid w:val="00E66CD0"/>
    <w:rsid w:val="00E72994"/>
    <w:rsid w:val="00E777A3"/>
    <w:rsid w:val="00E92558"/>
    <w:rsid w:val="00E969CF"/>
    <w:rsid w:val="00EC3FF0"/>
    <w:rsid w:val="00EC6283"/>
    <w:rsid w:val="00ED510A"/>
    <w:rsid w:val="00EE7545"/>
    <w:rsid w:val="00EF2429"/>
    <w:rsid w:val="00EF3C07"/>
    <w:rsid w:val="00EF49FF"/>
    <w:rsid w:val="00EF7CEA"/>
    <w:rsid w:val="00F055C1"/>
    <w:rsid w:val="00F1160F"/>
    <w:rsid w:val="00F21471"/>
    <w:rsid w:val="00F3457D"/>
    <w:rsid w:val="00F468E9"/>
    <w:rsid w:val="00F46EB5"/>
    <w:rsid w:val="00F506BE"/>
    <w:rsid w:val="00F602CD"/>
    <w:rsid w:val="00F81A77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42C5"/>
  <w15:docId w15:val="{0D6657F0-8CB9-4C8B-8F01-DE80080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300C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5766-1EE5-4362-8F13-50316B0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2024-07-03T12:55:00Z</cp:lastPrinted>
  <dcterms:created xsi:type="dcterms:W3CDTF">2024-07-03T13:39:00Z</dcterms:created>
  <dcterms:modified xsi:type="dcterms:W3CDTF">2024-07-04T07:52:00Z</dcterms:modified>
</cp:coreProperties>
</file>