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89E" w:rsidRPr="006130AA" w:rsidRDefault="00D7689E" w:rsidP="00F11E5C">
      <w:pPr>
        <w:jc w:val="both"/>
        <w:rPr>
          <w:rFonts w:ascii="Times New Roman" w:hAnsi="Times New Roman" w:cs="Times New Roman"/>
        </w:rPr>
      </w:pPr>
      <w:r w:rsidRPr="006130AA">
        <w:rPr>
          <w:rFonts w:ascii="Times New Roman" w:hAnsi="Times New Roman" w:cs="Times New Roman"/>
        </w:rPr>
        <w:t>Sukladno člank</w:t>
      </w:r>
      <w:r w:rsidR="003463B8" w:rsidRPr="006130AA">
        <w:rPr>
          <w:rFonts w:ascii="Times New Roman" w:hAnsi="Times New Roman" w:cs="Times New Roman"/>
        </w:rPr>
        <w:t>u</w:t>
      </w:r>
      <w:r w:rsidRPr="006130AA">
        <w:rPr>
          <w:rFonts w:ascii="Times New Roman" w:hAnsi="Times New Roman" w:cs="Times New Roman"/>
        </w:rPr>
        <w:t xml:space="preserve"> 22a. stavak (1) Zakona o financiranju institucija Bosne i Hercegovine („Službeni glasnik BiH“, br. 61/04, 49/09 i 42/12), </w:t>
      </w:r>
      <w:r w:rsidR="00775B38" w:rsidRPr="006130AA">
        <w:rPr>
          <w:rFonts w:ascii="Times New Roman" w:hAnsi="Times New Roman" w:cs="Times New Roman"/>
        </w:rPr>
        <w:t>Maja Stojkić,</w:t>
      </w:r>
      <w:r w:rsidR="00CF538F">
        <w:rPr>
          <w:rFonts w:ascii="Times New Roman" w:hAnsi="Times New Roman" w:cs="Times New Roman"/>
        </w:rPr>
        <w:t xml:space="preserve"> </w:t>
      </w:r>
      <w:r w:rsidRPr="006130AA">
        <w:rPr>
          <w:rFonts w:ascii="Times New Roman" w:hAnsi="Times New Roman" w:cs="Times New Roman"/>
        </w:rPr>
        <w:t>u svo</w:t>
      </w:r>
      <w:r w:rsidR="00775B38" w:rsidRPr="006130AA">
        <w:rPr>
          <w:rFonts w:ascii="Times New Roman" w:hAnsi="Times New Roman" w:cs="Times New Roman"/>
        </w:rPr>
        <w:t>jstvu rukovoditelja institucije</w:t>
      </w:r>
      <w:r w:rsidR="007373C5" w:rsidRPr="006130AA">
        <w:rPr>
          <w:rFonts w:ascii="Times New Roman" w:hAnsi="Times New Roman" w:cs="Times New Roman"/>
        </w:rPr>
        <w:t>,</w:t>
      </w:r>
      <w:r w:rsidR="00775B38" w:rsidRPr="006130AA">
        <w:rPr>
          <w:rFonts w:ascii="Times New Roman" w:hAnsi="Times New Roman" w:cs="Times New Roman"/>
        </w:rPr>
        <w:t xml:space="preserve"> dostavlja</w:t>
      </w:r>
      <w:r w:rsidRPr="006130AA">
        <w:rPr>
          <w:rFonts w:ascii="Times New Roman" w:hAnsi="Times New Roman" w:cs="Times New Roman"/>
        </w:rPr>
        <w:t xml:space="preserve"> sljedeću</w:t>
      </w:r>
    </w:p>
    <w:p w:rsidR="00D7689E" w:rsidRPr="00CF538F" w:rsidRDefault="00D7689E" w:rsidP="00D7689E">
      <w:pPr>
        <w:spacing w:after="0" w:line="240" w:lineRule="auto"/>
        <w:jc w:val="center"/>
        <w:rPr>
          <w:rFonts w:ascii="Times New Roman" w:hAnsi="Times New Roman" w:cs="Times New Roman"/>
          <w:b/>
          <w:sz w:val="28"/>
          <w:szCs w:val="28"/>
        </w:rPr>
      </w:pPr>
      <w:r w:rsidRPr="00CF538F">
        <w:rPr>
          <w:rFonts w:ascii="Times New Roman" w:hAnsi="Times New Roman" w:cs="Times New Roman"/>
          <w:b/>
          <w:sz w:val="28"/>
          <w:szCs w:val="28"/>
        </w:rPr>
        <w:t>I Z J A V U</w:t>
      </w:r>
    </w:p>
    <w:p w:rsidR="00D7689E" w:rsidRPr="00CF538F" w:rsidRDefault="00835EF9" w:rsidP="00D7689E">
      <w:pPr>
        <w:spacing w:after="0" w:line="240" w:lineRule="auto"/>
        <w:jc w:val="center"/>
        <w:rPr>
          <w:rFonts w:ascii="Times New Roman" w:hAnsi="Times New Roman" w:cs="Times New Roman"/>
          <w:b/>
          <w:sz w:val="28"/>
          <w:szCs w:val="28"/>
        </w:rPr>
      </w:pPr>
      <w:r w:rsidRPr="00CF538F">
        <w:rPr>
          <w:rFonts w:ascii="Times New Roman" w:hAnsi="Times New Roman" w:cs="Times New Roman"/>
          <w:b/>
          <w:sz w:val="28"/>
          <w:szCs w:val="28"/>
        </w:rPr>
        <w:t>o odgovornosti</w:t>
      </w:r>
      <w:r w:rsidR="00D7689E" w:rsidRPr="00CF538F">
        <w:rPr>
          <w:rFonts w:ascii="Times New Roman" w:hAnsi="Times New Roman" w:cs="Times New Roman"/>
          <w:b/>
          <w:sz w:val="28"/>
          <w:szCs w:val="28"/>
        </w:rPr>
        <w:t xml:space="preserve"> za ostvarivanje ciljeva institucije</w:t>
      </w:r>
    </w:p>
    <w:p w:rsidR="00D7689E" w:rsidRPr="006130AA" w:rsidRDefault="00D7689E" w:rsidP="00D7689E">
      <w:pPr>
        <w:spacing w:after="0" w:line="240" w:lineRule="auto"/>
        <w:jc w:val="center"/>
        <w:rPr>
          <w:rFonts w:ascii="Times New Roman" w:hAnsi="Times New Roman" w:cs="Times New Roman"/>
          <w:b/>
          <w:sz w:val="28"/>
          <w:szCs w:val="28"/>
        </w:rPr>
      </w:pPr>
      <w:r w:rsidRPr="006130AA">
        <w:rPr>
          <w:rFonts w:ascii="Times New Roman" w:hAnsi="Times New Roman" w:cs="Times New Roman"/>
          <w:b/>
          <w:sz w:val="28"/>
          <w:szCs w:val="28"/>
        </w:rPr>
        <w:t>Agencije za predškolsko, osnovno i srednje obrazovanje</w:t>
      </w:r>
    </w:p>
    <w:p w:rsidR="00D7689E" w:rsidRPr="006130AA" w:rsidRDefault="00D7689E" w:rsidP="00D7689E">
      <w:pPr>
        <w:jc w:val="center"/>
        <w:rPr>
          <w:rFonts w:ascii="Times New Roman" w:hAnsi="Times New Roman" w:cs="Times New Roman"/>
          <w:b/>
        </w:rPr>
      </w:pPr>
    </w:p>
    <w:p w:rsidR="00D7689E" w:rsidRPr="006130AA" w:rsidRDefault="00D7689E" w:rsidP="00D7689E">
      <w:pPr>
        <w:pStyle w:val="Odlomakpopisa"/>
        <w:numPr>
          <w:ilvl w:val="0"/>
          <w:numId w:val="1"/>
        </w:numPr>
        <w:jc w:val="both"/>
        <w:rPr>
          <w:rFonts w:ascii="Times New Roman" w:hAnsi="Times New Roman" w:cs="Times New Roman"/>
          <w:b/>
        </w:rPr>
      </w:pPr>
      <w:r w:rsidRPr="006130AA">
        <w:rPr>
          <w:rFonts w:ascii="Times New Roman" w:hAnsi="Times New Roman" w:cs="Times New Roman"/>
          <w:b/>
        </w:rPr>
        <w:t>Glavni ciljevi</w:t>
      </w:r>
      <w:r w:rsidR="00C01AB9" w:rsidRPr="006130AA">
        <w:rPr>
          <w:rFonts w:ascii="Times New Roman" w:hAnsi="Times New Roman" w:cs="Times New Roman"/>
          <w:b/>
        </w:rPr>
        <w:t xml:space="preserve"> utvrđeni Programom rada za 20</w:t>
      </w:r>
      <w:r w:rsidR="00753460">
        <w:rPr>
          <w:rFonts w:ascii="Times New Roman" w:hAnsi="Times New Roman" w:cs="Times New Roman"/>
          <w:b/>
        </w:rPr>
        <w:t>20</w:t>
      </w:r>
      <w:r w:rsidRPr="006130AA">
        <w:rPr>
          <w:rFonts w:ascii="Times New Roman" w:hAnsi="Times New Roman" w:cs="Times New Roman"/>
          <w:b/>
        </w:rPr>
        <w:t xml:space="preserve">. </w:t>
      </w:r>
      <w:r w:rsidR="003463B8" w:rsidRPr="006130AA">
        <w:rPr>
          <w:rFonts w:ascii="Times New Roman" w:hAnsi="Times New Roman" w:cs="Times New Roman"/>
          <w:b/>
        </w:rPr>
        <w:t>g</w:t>
      </w:r>
      <w:r w:rsidRPr="006130AA">
        <w:rPr>
          <w:rFonts w:ascii="Times New Roman" w:hAnsi="Times New Roman" w:cs="Times New Roman"/>
          <w:b/>
        </w:rPr>
        <w:t>odinu ostvareni su kako slijedi:</w:t>
      </w:r>
    </w:p>
    <w:tbl>
      <w:tblPr>
        <w:tblStyle w:val="Reetkatablice"/>
        <w:tblW w:w="0" w:type="auto"/>
        <w:tblLook w:val="04A0" w:firstRow="1" w:lastRow="0" w:firstColumn="1" w:lastColumn="0" w:noHBand="0" w:noVBand="1"/>
      </w:tblPr>
      <w:tblGrid>
        <w:gridCol w:w="674"/>
        <w:gridCol w:w="6064"/>
        <w:gridCol w:w="2324"/>
      </w:tblGrid>
      <w:tr w:rsidR="00D7689E" w:rsidRPr="006130AA" w:rsidTr="00B34CEF">
        <w:tc>
          <w:tcPr>
            <w:tcW w:w="675" w:type="dxa"/>
          </w:tcPr>
          <w:p w:rsidR="00D7689E" w:rsidRPr="006130AA" w:rsidRDefault="00D7689E" w:rsidP="00D7689E">
            <w:pPr>
              <w:jc w:val="both"/>
              <w:rPr>
                <w:rFonts w:ascii="Times New Roman" w:hAnsi="Times New Roman" w:cs="Times New Roman"/>
                <w:b/>
              </w:rPr>
            </w:pPr>
            <w:r w:rsidRPr="006130AA">
              <w:rPr>
                <w:rFonts w:ascii="Times New Roman" w:hAnsi="Times New Roman" w:cs="Times New Roman"/>
                <w:b/>
              </w:rPr>
              <w:t>Red.</w:t>
            </w:r>
          </w:p>
          <w:p w:rsidR="00D7689E" w:rsidRPr="006130AA" w:rsidRDefault="00D7689E" w:rsidP="00D7689E">
            <w:pPr>
              <w:jc w:val="both"/>
              <w:rPr>
                <w:rFonts w:ascii="Times New Roman" w:hAnsi="Times New Roman" w:cs="Times New Roman"/>
                <w:b/>
              </w:rPr>
            </w:pPr>
            <w:r w:rsidRPr="006130AA">
              <w:rPr>
                <w:rFonts w:ascii="Times New Roman" w:hAnsi="Times New Roman" w:cs="Times New Roman"/>
                <w:b/>
              </w:rPr>
              <w:t>Broj</w:t>
            </w:r>
          </w:p>
        </w:tc>
        <w:tc>
          <w:tcPr>
            <w:tcW w:w="6237" w:type="dxa"/>
          </w:tcPr>
          <w:p w:rsidR="00D7689E" w:rsidRPr="006130AA" w:rsidRDefault="00D7689E" w:rsidP="00D7689E">
            <w:pPr>
              <w:jc w:val="center"/>
              <w:rPr>
                <w:rFonts w:ascii="Times New Roman" w:hAnsi="Times New Roman" w:cs="Times New Roman"/>
                <w:b/>
              </w:rPr>
            </w:pPr>
            <w:r w:rsidRPr="006130AA">
              <w:rPr>
                <w:rFonts w:ascii="Times New Roman" w:hAnsi="Times New Roman" w:cs="Times New Roman"/>
                <w:b/>
              </w:rPr>
              <w:t>Glavni ciljevi utvrđeni Programom rada</w:t>
            </w:r>
          </w:p>
        </w:tc>
        <w:tc>
          <w:tcPr>
            <w:tcW w:w="2376" w:type="dxa"/>
            <w:vAlign w:val="center"/>
          </w:tcPr>
          <w:p w:rsidR="00D7689E" w:rsidRPr="006130AA" w:rsidRDefault="00D7689E" w:rsidP="00D7689E">
            <w:pPr>
              <w:jc w:val="center"/>
              <w:rPr>
                <w:rFonts w:ascii="Times New Roman" w:hAnsi="Times New Roman" w:cs="Times New Roman"/>
                <w:b/>
              </w:rPr>
            </w:pPr>
            <w:r w:rsidRPr="006130AA">
              <w:rPr>
                <w:rFonts w:ascii="Times New Roman" w:hAnsi="Times New Roman" w:cs="Times New Roman"/>
                <w:b/>
              </w:rPr>
              <w:t>Procenat</w:t>
            </w:r>
          </w:p>
          <w:p w:rsidR="00D7689E" w:rsidRPr="006130AA" w:rsidRDefault="00D7689E" w:rsidP="00D7689E">
            <w:pPr>
              <w:jc w:val="center"/>
              <w:rPr>
                <w:rFonts w:ascii="Times New Roman" w:hAnsi="Times New Roman" w:cs="Times New Roman"/>
                <w:b/>
              </w:rPr>
            </w:pPr>
            <w:r w:rsidRPr="006130AA">
              <w:rPr>
                <w:rFonts w:ascii="Times New Roman" w:hAnsi="Times New Roman" w:cs="Times New Roman"/>
                <w:b/>
              </w:rPr>
              <w:t>izvršenja</w:t>
            </w:r>
          </w:p>
        </w:tc>
      </w:tr>
      <w:tr w:rsidR="00D7689E" w:rsidRPr="006130AA" w:rsidTr="00B52246">
        <w:tc>
          <w:tcPr>
            <w:tcW w:w="675" w:type="dxa"/>
          </w:tcPr>
          <w:p w:rsidR="00D7689E" w:rsidRPr="006130AA" w:rsidRDefault="00D7689E" w:rsidP="00D7689E">
            <w:pPr>
              <w:jc w:val="both"/>
              <w:rPr>
                <w:rFonts w:ascii="Times New Roman" w:hAnsi="Times New Roman" w:cs="Times New Roman"/>
              </w:rPr>
            </w:pPr>
            <w:r w:rsidRPr="006130AA">
              <w:rPr>
                <w:rFonts w:ascii="Times New Roman" w:hAnsi="Times New Roman" w:cs="Times New Roman"/>
              </w:rPr>
              <w:t>1.</w:t>
            </w:r>
          </w:p>
        </w:tc>
        <w:tc>
          <w:tcPr>
            <w:tcW w:w="6237" w:type="dxa"/>
          </w:tcPr>
          <w:p w:rsidR="00A5210E" w:rsidRPr="00A5210E" w:rsidRDefault="00A5210E" w:rsidP="00A5210E">
            <w:pPr>
              <w:jc w:val="both"/>
              <w:rPr>
                <w:rFonts w:ascii="Times New Roman" w:hAnsi="Times New Roman" w:cs="Times New Roman"/>
                <w:b/>
                <w:bCs/>
                <w:sz w:val="18"/>
                <w:szCs w:val="18"/>
              </w:rPr>
            </w:pPr>
            <w:r w:rsidRPr="00A5210E">
              <w:rPr>
                <w:rFonts w:ascii="Times New Roman" w:hAnsi="Times New Roman" w:cs="Times New Roman"/>
                <w:b/>
                <w:bCs/>
                <w:sz w:val="18"/>
                <w:szCs w:val="18"/>
              </w:rPr>
              <w:t xml:space="preserve">Izrada </w:t>
            </w:r>
            <w:r w:rsidR="00D1496D">
              <w:rPr>
                <w:rFonts w:ascii="Times New Roman" w:hAnsi="Times New Roman" w:cs="Times New Roman"/>
                <w:b/>
                <w:bCs/>
                <w:sz w:val="18"/>
                <w:szCs w:val="18"/>
              </w:rPr>
              <w:t xml:space="preserve">Smjernica za provedbu </w:t>
            </w:r>
            <w:r w:rsidR="00753460">
              <w:rPr>
                <w:rFonts w:ascii="Times New Roman" w:hAnsi="Times New Roman" w:cs="Times New Roman"/>
                <w:b/>
                <w:bCs/>
                <w:sz w:val="18"/>
                <w:szCs w:val="18"/>
              </w:rPr>
              <w:t>zajedničke jezgre cjelovitih razvojnih programa  u predškolskom odgoju i obrazovanju</w:t>
            </w:r>
          </w:p>
          <w:p w:rsidR="00D7689E" w:rsidRPr="00A5210E" w:rsidRDefault="00D7689E" w:rsidP="00F157F8">
            <w:pPr>
              <w:jc w:val="both"/>
              <w:rPr>
                <w:rFonts w:ascii="Times New Roman" w:hAnsi="Times New Roman" w:cs="Times New Roman"/>
                <w:b/>
                <w:bCs/>
                <w:sz w:val="20"/>
                <w:szCs w:val="20"/>
              </w:rPr>
            </w:pPr>
          </w:p>
        </w:tc>
        <w:tc>
          <w:tcPr>
            <w:tcW w:w="2376" w:type="dxa"/>
            <w:vAlign w:val="center"/>
          </w:tcPr>
          <w:p w:rsidR="00D7689E" w:rsidRPr="006130AA" w:rsidRDefault="00753460" w:rsidP="00753460">
            <w:pPr>
              <w:jc w:val="center"/>
              <w:rPr>
                <w:rFonts w:ascii="Times New Roman" w:hAnsi="Times New Roman" w:cs="Times New Roman"/>
                <w:b/>
              </w:rPr>
            </w:pPr>
            <w:r>
              <w:rPr>
                <w:rFonts w:ascii="Times New Roman" w:hAnsi="Times New Roman" w:cs="Times New Roman"/>
                <w:b/>
              </w:rPr>
              <w:t>20</w:t>
            </w:r>
            <w:r w:rsidR="00D1496D">
              <w:rPr>
                <w:rFonts w:ascii="Times New Roman" w:hAnsi="Times New Roman" w:cs="Times New Roman"/>
                <w:b/>
              </w:rPr>
              <w:t>%</w:t>
            </w:r>
          </w:p>
        </w:tc>
      </w:tr>
      <w:tr w:rsidR="00D7689E" w:rsidRPr="006130AA" w:rsidTr="00B52246">
        <w:tc>
          <w:tcPr>
            <w:tcW w:w="675" w:type="dxa"/>
          </w:tcPr>
          <w:p w:rsidR="00D7689E" w:rsidRPr="006130AA" w:rsidRDefault="00D7689E" w:rsidP="00D7689E">
            <w:pPr>
              <w:jc w:val="both"/>
              <w:rPr>
                <w:rFonts w:ascii="Times New Roman" w:hAnsi="Times New Roman" w:cs="Times New Roman"/>
              </w:rPr>
            </w:pPr>
            <w:r w:rsidRPr="006130AA">
              <w:rPr>
                <w:rFonts w:ascii="Times New Roman" w:hAnsi="Times New Roman" w:cs="Times New Roman"/>
              </w:rPr>
              <w:t>2.</w:t>
            </w:r>
          </w:p>
        </w:tc>
        <w:tc>
          <w:tcPr>
            <w:tcW w:w="6237" w:type="dxa"/>
          </w:tcPr>
          <w:p w:rsidR="00A5210E" w:rsidRPr="00A5210E" w:rsidRDefault="00753460" w:rsidP="00A5210E">
            <w:pPr>
              <w:rPr>
                <w:rFonts w:ascii="Times New Roman" w:hAnsi="Times New Roman" w:cs="Times New Roman"/>
                <w:b/>
                <w:bCs/>
                <w:sz w:val="18"/>
                <w:szCs w:val="18"/>
              </w:rPr>
            </w:pPr>
            <w:r>
              <w:rPr>
                <w:rFonts w:ascii="Times New Roman" w:hAnsi="Times New Roman" w:cs="Times New Roman"/>
                <w:b/>
                <w:bCs/>
                <w:sz w:val="18"/>
                <w:szCs w:val="18"/>
              </w:rPr>
              <w:t>Izrada apriori standarda učeničkih postignuća</w:t>
            </w:r>
          </w:p>
          <w:p w:rsidR="00D7689E" w:rsidRPr="00A5210E" w:rsidRDefault="00D7689E" w:rsidP="00F25C04">
            <w:pPr>
              <w:rPr>
                <w:rFonts w:ascii="Times New Roman" w:hAnsi="Times New Roman" w:cs="Times New Roman"/>
                <w:b/>
                <w:bCs/>
                <w:sz w:val="20"/>
                <w:szCs w:val="20"/>
              </w:rPr>
            </w:pPr>
          </w:p>
        </w:tc>
        <w:tc>
          <w:tcPr>
            <w:tcW w:w="2376" w:type="dxa"/>
            <w:vAlign w:val="center"/>
          </w:tcPr>
          <w:p w:rsidR="00D7689E" w:rsidRPr="006130AA" w:rsidRDefault="00753460" w:rsidP="00A5210E">
            <w:pPr>
              <w:jc w:val="center"/>
              <w:rPr>
                <w:rFonts w:ascii="Times New Roman" w:hAnsi="Times New Roman" w:cs="Times New Roman"/>
                <w:b/>
              </w:rPr>
            </w:pPr>
            <w:r>
              <w:rPr>
                <w:rFonts w:ascii="Times New Roman" w:hAnsi="Times New Roman" w:cs="Times New Roman"/>
                <w:b/>
              </w:rPr>
              <w:t>120%</w:t>
            </w:r>
          </w:p>
        </w:tc>
      </w:tr>
      <w:tr w:rsidR="00753460" w:rsidRPr="006130AA" w:rsidTr="00B52246">
        <w:tc>
          <w:tcPr>
            <w:tcW w:w="675" w:type="dxa"/>
          </w:tcPr>
          <w:p w:rsidR="00753460" w:rsidRPr="006130AA" w:rsidRDefault="00753460" w:rsidP="00753460">
            <w:pPr>
              <w:jc w:val="both"/>
              <w:rPr>
                <w:rFonts w:ascii="Times New Roman" w:hAnsi="Times New Roman" w:cs="Times New Roman"/>
              </w:rPr>
            </w:pPr>
            <w:r w:rsidRPr="006130AA">
              <w:rPr>
                <w:rFonts w:ascii="Times New Roman" w:hAnsi="Times New Roman" w:cs="Times New Roman"/>
              </w:rPr>
              <w:t>3.</w:t>
            </w:r>
          </w:p>
        </w:tc>
        <w:tc>
          <w:tcPr>
            <w:tcW w:w="6237" w:type="dxa"/>
          </w:tcPr>
          <w:p w:rsidR="00753460" w:rsidRPr="00A5210E" w:rsidRDefault="00753460" w:rsidP="00753460">
            <w:pPr>
              <w:rPr>
                <w:rFonts w:ascii="Times New Roman" w:hAnsi="Times New Roman" w:cs="Times New Roman"/>
                <w:b/>
                <w:bCs/>
                <w:sz w:val="18"/>
                <w:szCs w:val="18"/>
              </w:rPr>
            </w:pPr>
            <w:r>
              <w:rPr>
                <w:rFonts w:ascii="Times New Roman" w:hAnsi="Times New Roman" w:cs="Times New Roman"/>
                <w:b/>
                <w:bCs/>
                <w:sz w:val="18"/>
                <w:szCs w:val="18"/>
              </w:rPr>
              <w:t>Izrada standarda kvaliteta rada ustanova za predškolski odgoj i obrazovanje</w:t>
            </w:r>
          </w:p>
          <w:p w:rsidR="00753460" w:rsidRPr="00A5210E" w:rsidRDefault="00753460" w:rsidP="00753460">
            <w:pPr>
              <w:rPr>
                <w:rFonts w:ascii="Times New Roman" w:hAnsi="Times New Roman" w:cs="Times New Roman"/>
                <w:b/>
                <w:sz w:val="20"/>
                <w:szCs w:val="20"/>
              </w:rPr>
            </w:pPr>
          </w:p>
        </w:tc>
        <w:tc>
          <w:tcPr>
            <w:tcW w:w="2376" w:type="dxa"/>
            <w:vAlign w:val="center"/>
          </w:tcPr>
          <w:p w:rsidR="00753460" w:rsidRPr="006130AA" w:rsidRDefault="00753460" w:rsidP="00753460">
            <w:pPr>
              <w:jc w:val="center"/>
              <w:rPr>
                <w:rFonts w:ascii="Times New Roman" w:hAnsi="Times New Roman" w:cs="Times New Roman"/>
                <w:b/>
              </w:rPr>
            </w:pPr>
            <w:r>
              <w:rPr>
                <w:rFonts w:ascii="Times New Roman" w:hAnsi="Times New Roman" w:cs="Times New Roman"/>
                <w:b/>
              </w:rPr>
              <w:t>145%</w:t>
            </w:r>
          </w:p>
        </w:tc>
      </w:tr>
      <w:tr w:rsidR="00E20A44" w:rsidRPr="006130AA" w:rsidTr="00B52246">
        <w:tc>
          <w:tcPr>
            <w:tcW w:w="675" w:type="dxa"/>
          </w:tcPr>
          <w:p w:rsidR="00E20A44" w:rsidRPr="006130AA" w:rsidRDefault="00E20A44" w:rsidP="00E20A44">
            <w:pPr>
              <w:jc w:val="both"/>
              <w:rPr>
                <w:rFonts w:ascii="Times New Roman" w:hAnsi="Times New Roman" w:cs="Times New Roman"/>
              </w:rPr>
            </w:pPr>
            <w:r w:rsidRPr="006130AA">
              <w:rPr>
                <w:rFonts w:ascii="Times New Roman" w:hAnsi="Times New Roman" w:cs="Times New Roman"/>
              </w:rPr>
              <w:t>4.</w:t>
            </w:r>
          </w:p>
        </w:tc>
        <w:tc>
          <w:tcPr>
            <w:tcW w:w="6237" w:type="dxa"/>
          </w:tcPr>
          <w:p w:rsidR="00A5210E" w:rsidRPr="00A5210E" w:rsidRDefault="00753460" w:rsidP="00A5210E">
            <w:pPr>
              <w:rPr>
                <w:rFonts w:ascii="Times New Roman" w:hAnsi="Times New Roman" w:cs="Times New Roman"/>
                <w:b/>
                <w:bCs/>
                <w:sz w:val="18"/>
                <w:szCs w:val="18"/>
              </w:rPr>
            </w:pPr>
            <w:r>
              <w:rPr>
                <w:rFonts w:ascii="Times New Roman" w:hAnsi="Times New Roman" w:cs="Times New Roman"/>
                <w:b/>
                <w:bCs/>
                <w:sz w:val="18"/>
                <w:szCs w:val="18"/>
              </w:rPr>
              <w:t>Izrada izvješća za TIMSS 2019 i priprema probnog istraživanja za TIMSS 2023</w:t>
            </w:r>
          </w:p>
          <w:p w:rsidR="00E20A44" w:rsidRPr="00A5210E" w:rsidRDefault="00E20A44" w:rsidP="00F25C04">
            <w:pPr>
              <w:rPr>
                <w:rFonts w:ascii="Times New Roman" w:hAnsi="Times New Roman" w:cs="Times New Roman"/>
                <w:b/>
                <w:sz w:val="20"/>
                <w:szCs w:val="20"/>
              </w:rPr>
            </w:pPr>
          </w:p>
        </w:tc>
        <w:tc>
          <w:tcPr>
            <w:tcW w:w="2376" w:type="dxa"/>
            <w:vAlign w:val="center"/>
          </w:tcPr>
          <w:p w:rsidR="00E20A44" w:rsidRPr="006130AA" w:rsidRDefault="00F25C04" w:rsidP="00E20A44">
            <w:pPr>
              <w:jc w:val="center"/>
              <w:rPr>
                <w:rFonts w:ascii="Times New Roman" w:hAnsi="Times New Roman" w:cs="Times New Roman"/>
                <w:b/>
              </w:rPr>
            </w:pPr>
            <w:r w:rsidRPr="006130AA">
              <w:rPr>
                <w:rFonts w:ascii="Times New Roman" w:hAnsi="Times New Roman" w:cs="Times New Roman"/>
                <w:b/>
              </w:rPr>
              <w:t>100%</w:t>
            </w:r>
          </w:p>
        </w:tc>
      </w:tr>
      <w:tr w:rsidR="00E20A44" w:rsidRPr="006130AA" w:rsidTr="00982C5F">
        <w:trPr>
          <w:trHeight w:val="633"/>
        </w:trPr>
        <w:tc>
          <w:tcPr>
            <w:tcW w:w="675" w:type="dxa"/>
          </w:tcPr>
          <w:p w:rsidR="00E20A44" w:rsidRPr="006130AA" w:rsidRDefault="00E20A44" w:rsidP="00E20A44">
            <w:pPr>
              <w:jc w:val="both"/>
              <w:rPr>
                <w:rFonts w:ascii="Times New Roman" w:hAnsi="Times New Roman" w:cs="Times New Roman"/>
              </w:rPr>
            </w:pPr>
            <w:r w:rsidRPr="006130AA">
              <w:rPr>
                <w:rFonts w:ascii="Times New Roman" w:hAnsi="Times New Roman" w:cs="Times New Roman"/>
              </w:rPr>
              <w:t>5.</w:t>
            </w:r>
          </w:p>
        </w:tc>
        <w:tc>
          <w:tcPr>
            <w:tcW w:w="6237" w:type="dxa"/>
          </w:tcPr>
          <w:p w:rsidR="00A5210E" w:rsidRPr="00A5210E" w:rsidRDefault="00D1496D" w:rsidP="00A5210E">
            <w:pPr>
              <w:rPr>
                <w:rFonts w:ascii="Times New Roman" w:hAnsi="Times New Roman" w:cs="Times New Roman"/>
                <w:b/>
                <w:bCs/>
                <w:sz w:val="18"/>
                <w:szCs w:val="18"/>
              </w:rPr>
            </w:pPr>
            <w:r>
              <w:rPr>
                <w:rFonts w:ascii="Times New Roman" w:hAnsi="Times New Roman" w:cs="Times New Roman"/>
                <w:b/>
                <w:bCs/>
                <w:sz w:val="18"/>
                <w:szCs w:val="18"/>
              </w:rPr>
              <w:t>Međunarodno istraživanje PIRLS 2021 – probno testiranje</w:t>
            </w:r>
          </w:p>
          <w:p w:rsidR="00E20A44" w:rsidRPr="00A5210E" w:rsidRDefault="00E20A44" w:rsidP="00F25C04">
            <w:pPr>
              <w:rPr>
                <w:rFonts w:ascii="Times New Roman" w:hAnsi="Times New Roman" w:cs="Times New Roman"/>
                <w:b/>
                <w:sz w:val="20"/>
                <w:szCs w:val="20"/>
              </w:rPr>
            </w:pPr>
          </w:p>
        </w:tc>
        <w:tc>
          <w:tcPr>
            <w:tcW w:w="2376" w:type="dxa"/>
            <w:vAlign w:val="center"/>
          </w:tcPr>
          <w:p w:rsidR="00E20A44" w:rsidRPr="006130AA" w:rsidRDefault="00F25C04" w:rsidP="00E20A44">
            <w:pPr>
              <w:jc w:val="center"/>
              <w:rPr>
                <w:rFonts w:ascii="Times New Roman" w:hAnsi="Times New Roman" w:cs="Times New Roman"/>
                <w:b/>
              </w:rPr>
            </w:pPr>
            <w:r w:rsidRPr="006130AA">
              <w:rPr>
                <w:rFonts w:ascii="Times New Roman" w:hAnsi="Times New Roman" w:cs="Times New Roman"/>
                <w:b/>
              </w:rPr>
              <w:t>100%</w:t>
            </w:r>
          </w:p>
        </w:tc>
      </w:tr>
      <w:tr w:rsidR="00E20A44" w:rsidRPr="006130AA" w:rsidTr="00B52246">
        <w:tc>
          <w:tcPr>
            <w:tcW w:w="675" w:type="dxa"/>
          </w:tcPr>
          <w:p w:rsidR="00E20A44" w:rsidRPr="006130AA" w:rsidRDefault="00E20A44" w:rsidP="00E20A44">
            <w:pPr>
              <w:jc w:val="both"/>
              <w:rPr>
                <w:rFonts w:ascii="Times New Roman" w:hAnsi="Times New Roman" w:cs="Times New Roman"/>
                <w:b/>
              </w:rPr>
            </w:pPr>
            <w:r w:rsidRPr="006130AA">
              <w:rPr>
                <w:rFonts w:ascii="Times New Roman" w:hAnsi="Times New Roman" w:cs="Times New Roman"/>
                <w:b/>
              </w:rPr>
              <w:t>6.</w:t>
            </w:r>
          </w:p>
        </w:tc>
        <w:tc>
          <w:tcPr>
            <w:tcW w:w="6237" w:type="dxa"/>
          </w:tcPr>
          <w:p w:rsidR="00753460" w:rsidRPr="00A5210E" w:rsidRDefault="00753460" w:rsidP="00753460">
            <w:pPr>
              <w:rPr>
                <w:rFonts w:ascii="Times New Roman" w:hAnsi="Times New Roman" w:cs="Times New Roman"/>
                <w:b/>
                <w:bCs/>
                <w:sz w:val="18"/>
                <w:szCs w:val="18"/>
              </w:rPr>
            </w:pPr>
            <w:r>
              <w:rPr>
                <w:rFonts w:ascii="Times New Roman" w:hAnsi="Times New Roman" w:cs="Times New Roman"/>
                <w:b/>
                <w:bCs/>
                <w:sz w:val="18"/>
                <w:szCs w:val="18"/>
              </w:rPr>
              <w:t>Medijska kampanja PISA 2018 i priprema probnog istraživanja za PISA 2021</w:t>
            </w:r>
          </w:p>
          <w:p w:rsidR="00F25C04" w:rsidRPr="00A5210E" w:rsidRDefault="00F25C04" w:rsidP="00F25C04">
            <w:pPr>
              <w:rPr>
                <w:rFonts w:ascii="Times New Roman" w:hAnsi="Times New Roman" w:cs="Times New Roman"/>
                <w:b/>
                <w:bCs/>
                <w:sz w:val="18"/>
                <w:szCs w:val="18"/>
              </w:rPr>
            </w:pPr>
          </w:p>
          <w:p w:rsidR="00E20A44" w:rsidRPr="00A5210E" w:rsidRDefault="00E20A44" w:rsidP="00982C5F">
            <w:pPr>
              <w:autoSpaceDE w:val="0"/>
              <w:autoSpaceDN w:val="0"/>
              <w:adjustRightInd w:val="0"/>
              <w:rPr>
                <w:rFonts w:ascii="Times New Roman" w:eastAsia="Calibri" w:hAnsi="Times New Roman" w:cs="Times New Roman"/>
                <w:b/>
                <w:bCs/>
                <w:color w:val="000000" w:themeColor="text1"/>
                <w:sz w:val="20"/>
                <w:szCs w:val="20"/>
              </w:rPr>
            </w:pPr>
          </w:p>
        </w:tc>
        <w:tc>
          <w:tcPr>
            <w:tcW w:w="2376" w:type="dxa"/>
            <w:vAlign w:val="center"/>
          </w:tcPr>
          <w:p w:rsidR="00E20A44" w:rsidRPr="006130AA" w:rsidRDefault="00753460" w:rsidP="00A5210E">
            <w:pPr>
              <w:jc w:val="center"/>
              <w:rPr>
                <w:rFonts w:ascii="Times New Roman" w:hAnsi="Times New Roman" w:cs="Times New Roman"/>
                <w:b/>
              </w:rPr>
            </w:pPr>
            <w:r>
              <w:rPr>
                <w:rFonts w:ascii="Times New Roman" w:hAnsi="Times New Roman" w:cs="Times New Roman"/>
                <w:b/>
              </w:rPr>
              <w:t>100%</w:t>
            </w:r>
          </w:p>
        </w:tc>
      </w:tr>
      <w:tr w:rsidR="00E20A44" w:rsidRPr="006130AA" w:rsidTr="00B52246">
        <w:tc>
          <w:tcPr>
            <w:tcW w:w="675" w:type="dxa"/>
          </w:tcPr>
          <w:p w:rsidR="00E20A44" w:rsidRPr="006130AA" w:rsidRDefault="00E20A44" w:rsidP="00E20A44">
            <w:pPr>
              <w:jc w:val="both"/>
              <w:rPr>
                <w:rFonts w:ascii="Times New Roman" w:hAnsi="Times New Roman" w:cs="Times New Roman"/>
                <w:b/>
              </w:rPr>
            </w:pPr>
            <w:r w:rsidRPr="006130AA">
              <w:rPr>
                <w:rFonts w:ascii="Times New Roman" w:hAnsi="Times New Roman" w:cs="Times New Roman"/>
                <w:b/>
              </w:rPr>
              <w:t>7.</w:t>
            </w:r>
          </w:p>
        </w:tc>
        <w:tc>
          <w:tcPr>
            <w:tcW w:w="6237" w:type="dxa"/>
          </w:tcPr>
          <w:p w:rsidR="00A5210E" w:rsidRPr="00A5210E" w:rsidRDefault="00F86404" w:rsidP="00A5210E">
            <w:pPr>
              <w:rPr>
                <w:rFonts w:ascii="Times New Roman" w:hAnsi="Times New Roman" w:cs="Times New Roman"/>
                <w:b/>
                <w:bCs/>
                <w:sz w:val="18"/>
                <w:szCs w:val="18"/>
              </w:rPr>
            </w:pPr>
            <w:r>
              <w:rPr>
                <w:rFonts w:ascii="Times New Roman" w:hAnsi="Times New Roman" w:cs="Times New Roman"/>
                <w:b/>
                <w:bCs/>
                <w:sz w:val="18"/>
                <w:szCs w:val="18"/>
              </w:rPr>
              <w:t>Provedba ERASMUS eTwinning projekta</w:t>
            </w:r>
          </w:p>
          <w:p w:rsidR="00E20A44" w:rsidRPr="00A5210E" w:rsidRDefault="00E20A44" w:rsidP="00982C5F">
            <w:pPr>
              <w:autoSpaceDE w:val="0"/>
              <w:autoSpaceDN w:val="0"/>
              <w:adjustRightInd w:val="0"/>
              <w:rPr>
                <w:rFonts w:ascii="Times New Roman" w:eastAsia="Calibri" w:hAnsi="Times New Roman" w:cs="Times New Roman"/>
                <w:b/>
                <w:bCs/>
                <w:color w:val="000000" w:themeColor="text1"/>
                <w:sz w:val="20"/>
                <w:szCs w:val="20"/>
              </w:rPr>
            </w:pPr>
          </w:p>
        </w:tc>
        <w:tc>
          <w:tcPr>
            <w:tcW w:w="2376" w:type="dxa"/>
            <w:vAlign w:val="center"/>
          </w:tcPr>
          <w:p w:rsidR="00E20A44" w:rsidRPr="006130AA" w:rsidRDefault="00F25C04" w:rsidP="00E20A44">
            <w:pPr>
              <w:jc w:val="center"/>
              <w:rPr>
                <w:rFonts w:ascii="Times New Roman" w:hAnsi="Times New Roman" w:cs="Times New Roman"/>
                <w:b/>
              </w:rPr>
            </w:pPr>
            <w:r w:rsidRPr="006130AA">
              <w:rPr>
                <w:rFonts w:ascii="Times New Roman" w:hAnsi="Times New Roman" w:cs="Times New Roman"/>
                <w:b/>
              </w:rPr>
              <w:t>100%</w:t>
            </w:r>
          </w:p>
        </w:tc>
      </w:tr>
      <w:tr w:rsidR="00E20A44" w:rsidRPr="006130AA" w:rsidTr="00B52246">
        <w:tc>
          <w:tcPr>
            <w:tcW w:w="675" w:type="dxa"/>
          </w:tcPr>
          <w:p w:rsidR="00E20A44" w:rsidRPr="006130AA" w:rsidRDefault="00E20A44" w:rsidP="00E20A44">
            <w:pPr>
              <w:jc w:val="both"/>
              <w:rPr>
                <w:rFonts w:ascii="Times New Roman" w:hAnsi="Times New Roman" w:cs="Times New Roman"/>
                <w:b/>
              </w:rPr>
            </w:pPr>
            <w:r w:rsidRPr="006130AA">
              <w:rPr>
                <w:rFonts w:ascii="Times New Roman" w:hAnsi="Times New Roman" w:cs="Times New Roman"/>
                <w:b/>
              </w:rPr>
              <w:t>8.</w:t>
            </w:r>
          </w:p>
        </w:tc>
        <w:tc>
          <w:tcPr>
            <w:tcW w:w="6237" w:type="dxa"/>
          </w:tcPr>
          <w:p w:rsidR="00A5210E" w:rsidRPr="00A5210E" w:rsidRDefault="00A5210E" w:rsidP="00A5210E">
            <w:pPr>
              <w:rPr>
                <w:rFonts w:ascii="Times New Roman" w:hAnsi="Times New Roman" w:cs="Times New Roman"/>
                <w:b/>
                <w:sz w:val="18"/>
                <w:szCs w:val="18"/>
              </w:rPr>
            </w:pPr>
            <w:r w:rsidRPr="00A5210E">
              <w:rPr>
                <w:rFonts w:ascii="Times New Roman" w:hAnsi="Times New Roman" w:cs="Times New Roman"/>
                <w:b/>
                <w:sz w:val="18"/>
                <w:szCs w:val="18"/>
              </w:rPr>
              <w:t xml:space="preserve">Razvoj standarda zanimanja/standarda kvalifikacija; </w:t>
            </w:r>
          </w:p>
          <w:p w:rsidR="00E20A44" w:rsidRPr="00A5210E" w:rsidRDefault="00E20A44" w:rsidP="00E20A44">
            <w:pPr>
              <w:contextualSpacing/>
              <w:rPr>
                <w:rFonts w:ascii="Times New Roman" w:hAnsi="Times New Roman" w:cs="Times New Roman"/>
                <w:b/>
                <w:color w:val="000000" w:themeColor="text1"/>
                <w:sz w:val="20"/>
                <w:szCs w:val="20"/>
              </w:rPr>
            </w:pPr>
          </w:p>
        </w:tc>
        <w:tc>
          <w:tcPr>
            <w:tcW w:w="2376" w:type="dxa"/>
            <w:vAlign w:val="center"/>
          </w:tcPr>
          <w:p w:rsidR="00E20A44" w:rsidRPr="006130AA" w:rsidRDefault="00A5210E" w:rsidP="00A5210E">
            <w:pPr>
              <w:jc w:val="center"/>
              <w:rPr>
                <w:rFonts w:ascii="Times New Roman" w:hAnsi="Times New Roman" w:cs="Times New Roman"/>
                <w:b/>
              </w:rPr>
            </w:pPr>
            <w:r>
              <w:rPr>
                <w:rFonts w:ascii="Times New Roman" w:hAnsi="Times New Roman" w:cs="Times New Roman"/>
                <w:b/>
              </w:rPr>
              <w:t>100</w:t>
            </w:r>
            <w:r w:rsidR="00F25C04" w:rsidRPr="006130AA">
              <w:rPr>
                <w:rFonts w:ascii="Times New Roman" w:hAnsi="Times New Roman" w:cs="Times New Roman"/>
                <w:b/>
              </w:rPr>
              <w:t>%</w:t>
            </w:r>
          </w:p>
        </w:tc>
      </w:tr>
      <w:tr w:rsidR="00E20A44" w:rsidRPr="006130AA" w:rsidTr="00B52246">
        <w:tc>
          <w:tcPr>
            <w:tcW w:w="675" w:type="dxa"/>
          </w:tcPr>
          <w:p w:rsidR="00E20A44" w:rsidRPr="006130AA" w:rsidRDefault="00E20A44" w:rsidP="00E20A44">
            <w:pPr>
              <w:jc w:val="both"/>
              <w:rPr>
                <w:rFonts w:ascii="Times New Roman" w:hAnsi="Times New Roman" w:cs="Times New Roman"/>
                <w:b/>
              </w:rPr>
            </w:pPr>
            <w:r w:rsidRPr="006130AA">
              <w:rPr>
                <w:rFonts w:ascii="Times New Roman" w:hAnsi="Times New Roman" w:cs="Times New Roman"/>
                <w:b/>
              </w:rPr>
              <w:t>9.</w:t>
            </w:r>
          </w:p>
        </w:tc>
        <w:tc>
          <w:tcPr>
            <w:tcW w:w="6237" w:type="dxa"/>
          </w:tcPr>
          <w:p w:rsidR="00F25C04" w:rsidRPr="00A5210E" w:rsidRDefault="00F25C04" w:rsidP="00F25C04">
            <w:pPr>
              <w:rPr>
                <w:rFonts w:ascii="Times New Roman" w:hAnsi="Times New Roman" w:cs="Times New Roman"/>
                <w:b/>
                <w:sz w:val="20"/>
                <w:szCs w:val="20"/>
              </w:rPr>
            </w:pPr>
            <w:r w:rsidRPr="00A5210E">
              <w:rPr>
                <w:rFonts w:ascii="Times New Roman" w:hAnsi="Times New Roman" w:cs="Times New Roman"/>
                <w:b/>
                <w:sz w:val="20"/>
                <w:szCs w:val="20"/>
              </w:rPr>
              <w:t>Praćenje primjene i unapređenja modularnih NPPa</w:t>
            </w:r>
          </w:p>
          <w:p w:rsidR="00E20A44" w:rsidRPr="00A5210E" w:rsidRDefault="00E20A44" w:rsidP="00982C5F">
            <w:pPr>
              <w:contextualSpacing/>
              <w:rPr>
                <w:rFonts w:ascii="Times New Roman" w:hAnsi="Times New Roman" w:cs="Times New Roman"/>
                <w:b/>
                <w:color w:val="000000" w:themeColor="text1"/>
                <w:sz w:val="20"/>
                <w:szCs w:val="20"/>
              </w:rPr>
            </w:pPr>
          </w:p>
        </w:tc>
        <w:tc>
          <w:tcPr>
            <w:tcW w:w="2376" w:type="dxa"/>
            <w:vAlign w:val="center"/>
          </w:tcPr>
          <w:p w:rsidR="00E20A44" w:rsidRPr="006130AA" w:rsidRDefault="00F25C04" w:rsidP="00E20A44">
            <w:pPr>
              <w:jc w:val="center"/>
              <w:rPr>
                <w:rFonts w:ascii="Times New Roman" w:hAnsi="Times New Roman" w:cs="Times New Roman"/>
                <w:b/>
              </w:rPr>
            </w:pPr>
            <w:r w:rsidRPr="006130AA">
              <w:rPr>
                <w:rFonts w:ascii="Times New Roman" w:hAnsi="Times New Roman" w:cs="Times New Roman"/>
                <w:b/>
              </w:rPr>
              <w:t>100%</w:t>
            </w:r>
          </w:p>
        </w:tc>
      </w:tr>
      <w:tr w:rsidR="00E20A44" w:rsidRPr="006130AA" w:rsidTr="00B52246">
        <w:tc>
          <w:tcPr>
            <w:tcW w:w="675" w:type="dxa"/>
          </w:tcPr>
          <w:p w:rsidR="00E20A44" w:rsidRPr="006130AA" w:rsidRDefault="00E20A44" w:rsidP="00E20A44">
            <w:pPr>
              <w:jc w:val="both"/>
              <w:rPr>
                <w:rFonts w:ascii="Times New Roman" w:hAnsi="Times New Roman" w:cs="Times New Roman"/>
                <w:b/>
              </w:rPr>
            </w:pPr>
            <w:r w:rsidRPr="006130AA">
              <w:rPr>
                <w:rFonts w:ascii="Times New Roman" w:hAnsi="Times New Roman" w:cs="Times New Roman"/>
                <w:b/>
              </w:rPr>
              <w:t>10.</w:t>
            </w:r>
          </w:p>
        </w:tc>
        <w:tc>
          <w:tcPr>
            <w:tcW w:w="6237" w:type="dxa"/>
          </w:tcPr>
          <w:p w:rsidR="00F25C04" w:rsidRPr="00A5210E" w:rsidRDefault="00F25C04" w:rsidP="00F25C04">
            <w:pPr>
              <w:rPr>
                <w:rFonts w:ascii="Times New Roman" w:hAnsi="Times New Roman" w:cs="Times New Roman"/>
                <w:b/>
                <w:bCs/>
                <w:sz w:val="20"/>
                <w:szCs w:val="20"/>
              </w:rPr>
            </w:pPr>
            <w:r w:rsidRPr="00A5210E">
              <w:rPr>
                <w:rFonts w:ascii="Times New Roman" w:hAnsi="Times New Roman" w:cs="Times New Roman"/>
                <w:b/>
                <w:bCs/>
                <w:sz w:val="20"/>
                <w:szCs w:val="20"/>
              </w:rPr>
              <w:t>Razvoj informacijskog sustava u SSO</w:t>
            </w:r>
          </w:p>
          <w:p w:rsidR="00E20A44" w:rsidRPr="00A5210E" w:rsidRDefault="00E20A44" w:rsidP="00982C5F">
            <w:pPr>
              <w:contextualSpacing/>
              <w:rPr>
                <w:rFonts w:ascii="Times New Roman" w:hAnsi="Times New Roman" w:cs="Times New Roman"/>
                <w:b/>
                <w:sz w:val="20"/>
                <w:szCs w:val="20"/>
              </w:rPr>
            </w:pPr>
          </w:p>
        </w:tc>
        <w:tc>
          <w:tcPr>
            <w:tcW w:w="2376" w:type="dxa"/>
            <w:vAlign w:val="center"/>
          </w:tcPr>
          <w:p w:rsidR="00E20A44" w:rsidRPr="006130AA" w:rsidRDefault="00F25C04" w:rsidP="00E20A44">
            <w:pPr>
              <w:jc w:val="center"/>
              <w:rPr>
                <w:rFonts w:ascii="Times New Roman" w:hAnsi="Times New Roman" w:cs="Times New Roman"/>
                <w:b/>
              </w:rPr>
            </w:pPr>
            <w:r w:rsidRPr="006130AA">
              <w:rPr>
                <w:rFonts w:ascii="Times New Roman" w:hAnsi="Times New Roman" w:cs="Times New Roman"/>
                <w:b/>
              </w:rPr>
              <w:t>100%</w:t>
            </w:r>
          </w:p>
        </w:tc>
      </w:tr>
      <w:tr w:rsidR="00B06280" w:rsidRPr="006130AA" w:rsidTr="00B52246">
        <w:tc>
          <w:tcPr>
            <w:tcW w:w="675" w:type="dxa"/>
          </w:tcPr>
          <w:p w:rsidR="00B06280" w:rsidRPr="006130AA" w:rsidRDefault="00B06280" w:rsidP="00B06280">
            <w:pPr>
              <w:jc w:val="both"/>
              <w:rPr>
                <w:rFonts w:ascii="Times New Roman" w:hAnsi="Times New Roman" w:cs="Times New Roman"/>
                <w:b/>
              </w:rPr>
            </w:pPr>
            <w:r w:rsidRPr="006130AA">
              <w:rPr>
                <w:rFonts w:ascii="Times New Roman" w:hAnsi="Times New Roman" w:cs="Times New Roman"/>
                <w:b/>
              </w:rPr>
              <w:t>11.</w:t>
            </w:r>
          </w:p>
        </w:tc>
        <w:tc>
          <w:tcPr>
            <w:tcW w:w="6237" w:type="dxa"/>
          </w:tcPr>
          <w:p w:rsidR="00F25C04" w:rsidRPr="00A5210E" w:rsidRDefault="00A5210E" w:rsidP="00F25C04">
            <w:pPr>
              <w:rPr>
                <w:rFonts w:ascii="Times New Roman" w:hAnsi="Times New Roman" w:cs="Times New Roman"/>
                <w:b/>
                <w:sz w:val="20"/>
                <w:szCs w:val="20"/>
              </w:rPr>
            </w:pPr>
            <w:r w:rsidRPr="00A5210E">
              <w:rPr>
                <w:rFonts w:ascii="Times New Roman" w:hAnsi="Times New Roman" w:cs="Times New Roman"/>
                <w:b/>
                <w:sz w:val="20"/>
                <w:szCs w:val="20"/>
              </w:rPr>
              <w:t>Aktivnosti EAAL</w:t>
            </w:r>
          </w:p>
          <w:p w:rsidR="00B06280" w:rsidRPr="00A5210E" w:rsidRDefault="00B06280" w:rsidP="00B06280">
            <w:pPr>
              <w:contextualSpacing/>
              <w:rPr>
                <w:rFonts w:ascii="Times New Roman" w:hAnsi="Times New Roman" w:cs="Times New Roman"/>
                <w:b/>
                <w:color w:val="000000" w:themeColor="text1"/>
                <w:sz w:val="20"/>
                <w:szCs w:val="20"/>
              </w:rPr>
            </w:pPr>
          </w:p>
        </w:tc>
        <w:tc>
          <w:tcPr>
            <w:tcW w:w="2376" w:type="dxa"/>
            <w:vAlign w:val="center"/>
          </w:tcPr>
          <w:p w:rsidR="00B06280" w:rsidRPr="006130AA" w:rsidRDefault="00F86404" w:rsidP="00B06280">
            <w:pPr>
              <w:jc w:val="center"/>
              <w:rPr>
                <w:rFonts w:ascii="Times New Roman" w:hAnsi="Times New Roman" w:cs="Times New Roman"/>
                <w:b/>
              </w:rPr>
            </w:pPr>
            <w:r>
              <w:rPr>
                <w:rFonts w:ascii="Times New Roman" w:hAnsi="Times New Roman" w:cs="Times New Roman"/>
                <w:b/>
              </w:rPr>
              <w:t>10</w:t>
            </w:r>
            <w:r w:rsidR="00A5210E">
              <w:rPr>
                <w:rFonts w:ascii="Times New Roman" w:hAnsi="Times New Roman" w:cs="Times New Roman"/>
                <w:b/>
              </w:rPr>
              <w:t>0</w:t>
            </w:r>
            <w:r w:rsidR="00F25C04" w:rsidRPr="006130AA">
              <w:rPr>
                <w:rFonts w:ascii="Times New Roman" w:hAnsi="Times New Roman" w:cs="Times New Roman"/>
                <w:b/>
              </w:rPr>
              <w:t>%</w:t>
            </w:r>
          </w:p>
        </w:tc>
      </w:tr>
      <w:tr w:rsidR="00B06280" w:rsidRPr="006130AA" w:rsidTr="00B52246">
        <w:tc>
          <w:tcPr>
            <w:tcW w:w="675" w:type="dxa"/>
          </w:tcPr>
          <w:p w:rsidR="00B06280" w:rsidRPr="006130AA" w:rsidRDefault="00B06280" w:rsidP="00B06280">
            <w:pPr>
              <w:jc w:val="both"/>
              <w:rPr>
                <w:rFonts w:ascii="Times New Roman" w:hAnsi="Times New Roman" w:cs="Times New Roman"/>
                <w:b/>
              </w:rPr>
            </w:pPr>
            <w:r w:rsidRPr="006130AA">
              <w:rPr>
                <w:rFonts w:ascii="Times New Roman" w:hAnsi="Times New Roman" w:cs="Times New Roman"/>
                <w:b/>
              </w:rPr>
              <w:t>12.</w:t>
            </w:r>
          </w:p>
        </w:tc>
        <w:tc>
          <w:tcPr>
            <w:tcW w:w="6237" w:type="dxa"/>
          </w:tcPr>
          <w:p w:rsidR="00F25C04" w:rsidRPr="00A5210E" w:rsidRDefault="00F25C04" w:rsidP="00F25C04">
            <w:pPr>
              <w:rPr>
                <w:rFonts w:ascii="Times New Roman" w:hAnsi="Times New Roman" w:cs="Times New Roman"/>
                <w:b/>
                <w:sz w:val="20"/>
                <w:szCs w:val="20"/>
              </w:rPr>
            </w:pPr>
            <w:r w:rsidRPr="00A5210E">
              <w:rPr>
                <w:rFonts w:ascii="Times New Roman" w:hAnsi="Times New Roman" w:cs="Times New Roman"/>
                <w:b/>
                <w:sz w:val="20"/>
                <w:szCs w:val="20"/>
              </w:rPr>
              <w:t>Aktivnosti NSS za  platformu EPALE</w:t>
            </w:r>
          </w:p>
          <w:p w:rsidR="00B06280" w:rsidRPr="00A5210E" w:rsidRDefault="00B06280" w:rsidP="00B06280">
            <w:pPr>
              <w:rPr>
                <w:rFonts w:ascii="Times New Roman" w:hAnsi="Times New Roman" w:cs="Times New Roman"/>
                <w:b/>
                <w:color w:val="000000" w:themeColor="text1"/>
                <w:sz w:val="20"/>
                <w:szCs w:val="20"/>
                <w:lang w:val="hr-HR"/>
              </w:rPr>
            </w:pPr>
          </w:p>
        </w:tc>
        <w:tc>
          <w:tcPr>
            <w:tcW w:w="2376" w:type="dxa"/>
            <w:vAlign w:val="center"/>
          </w:tcPr>
          <w:p w:rsidR="00B06280" w:rsidRPr="006130AA" w:rsidRDefault="00F25C04" w:rsidP="00B06280">
            <w:pPr>
              <w:jc w:val="center"/>
              <w:rPr>
                <w:rFonts w:ascii="Times New Roman" w:hAnsi="Times New Roman" w:cs="Times New Roman"/>
                <w:b/>
              </w:rPr>
            </w:pPr>
            <w:r w:rsidRPr="006130AA">
              <w:rPr>
                <w:rFonts w:ascii="Times New Roman" w:hAnsi="Times New Roman" w:cs="Times New Roman"/>
                <w:b/>
              </w:rPr>
              <w:t>100%</w:t>
            </w:r>
          </w:p>
        </w:tc>
      </w:tr>
    </w:tbl>
    <w:p w:rsidR="00D7689E" w:rsidRPr="006130AA" w:rsidRDefault="00D7689E" w:rsidP="00D7689E">
      <w:pPr>
        <w:jc w:val="both"/>
        <w:rPr>
          <w:rFonts w:ascii="Times New Roman" w:hAnsi="Times New Roman" w:cs="Times New Roman"/>
          <w:b/>
        </w:rPr>
      </w:pPr>
    </w:p>
    <w:p w:rsidR="00D7689E" w:rsidRPr="006130AA" w:rsidRDefault="00D7689E" w:rsidP="00D7689E">
      <w:pPr>
        <w:jc w:val="both"/>
        <w:rPr>
          <w:rFonts w:ascii="Times New Roman" w:hAnsi="Times New Roman" w:cs="Times New Roman"/>
          <w:b/>
        </w:rPr>
      </w:pPr>
      <w:r w:rsidRPr="006130AA">
        <w:rPr>
          <w:rFonts w:ascii="Times New Roman" w:hAnsi="Times New Roman" w:cs="Times New Roman"/>
          <w:b/>
        </w:rPr>
        <w:t>Odstupanje ostvarenog od planiranog rezultat je:</w:t>
      </w:r>
    </w:p>
    <w:p w:rsidR="00CF538F" w:rsidRDefault="008D0B63" w:rsidP="00CF538F">
      <w:pPr>
        <w:spacing w:after="0"/>
        <w:jc w:val="both"/>
        <w:rPr>
          <w:rFonts w:ascii="Times New Roman" w:hAnsi="Times New Roman"/>
        </w:rPr>
      </w:pPr>
      <w:r w:rsidRPr="006130AA">
        <w:rPr>
          <w:rFonts w:ascii="Times New Roman" w:hAnsi="Times New Roman" w:cs="Times New Roman"/>
          <w:b/>
        </w:rPr>
        <w:t>1</w:t>
      </w:r>
      <w:r w:rsidR="00D25FC9">
        <w:rPr>
          <w:rFonts w:ascii="Times New Roman" w:hAnsi="Times New Roman" w:cs="Times New Roman"/>
          <w:b/>
        </w:rPr>
        <w:t>.</w:t>
      </w:r>
      <w:r w:rsidR="00F86404" w:rsidRPr="00F86404">
        <w:rPr>
          <w:rFonts w:ascii="Times New Roman" w:hAnsi="Times New Roman"/>
        </w:rPr>
        <w:t xml:space="preserve"> </w:t>
      </w:r>
      <w:r w:rsidR="00CF538F" w:rsidRPr="00A815A1">
        <w:rPr>
          <w:rFonts w:ascii="Times New Roman" w:eastAsia="Calibri" w:hAnsi="Times New Roman"/>
        </w:rPr>
        <w:t>Programom rada za 2020. godinu</w:t>
      </w:r>
      <w:r w:rsidR="00CF538F" w:rsidRPr="00A815A1">
        <w:rPr>
          <w:rFonts w:ascii="Times New Roman" w:hAnsi="Times New Roman"/>
          <w:color w:val="000000"/>
        </w:rPr>
        <w:t xml:space="preserve"> Odjel za izradu Zajedničke jezgre nastavnih planova i programa (ZJNPP) u predškolskom, osnovn</w:t>
      </w:r>
      <w:r w:rsidR="00CF538F">
        <w:rPr>
          <w:rFonts w:ascii="Times New Roman" w:hAnsi="Times New Roman"/>
          <w:color w:val="000000"/>
        </w:rPr>
        <w:t>om i srednjem općem obrazovanju</w:t>
      </w:r>
      <w:r w:rsidR="00CF538F" w:rsidRPr="00A815A1">
        <w:rPr>
          <w:rFonts w:ascii="Times New Roman" w:hAnsi="Times New Roman"/>
          <w:color w:val="000000"/>
        </w:rPr>
        <w:t xml:space="preserve"> u Mostaru,  planirao</w:t>
      </w:r>
      <w:r w:rsidR="00CF538F">
        <w:rPr>
          <w:rFonts w:ascii="Times New Roman" w:hAnsi="Times New Roman"/>
          <w:color w:val="000000"/>
        </w:rPr>
        <w:t xml:space="preserve"> je</w:t>
      </w:r>
      <w:r w:rsidR="00CF538F" w:rsidRPr="00A815A1">
        <w:rPr>
          <w:rFonts w:ascii="Times New Roman" w:hAnsi="Times New Roman"/>
          <w:color w:val="000000"/>
        </w:rPr>
        <w:t xml:space="preserve"> projekt izrade </w:t>
      </w:r>
      <w:r w:rsidR="00CF538F" w:rsidRPr="007777F9">
        <w:rPr>
          <w:rFonts w:ascii="Times New Roman" w:hAnsi="Times New Roman"/>
          <w:i/>
        </w:rPr>
        <w:t>Smjernica za provedbu Zajedničke jezgre cjeloviti razvojnih programa za predškolski odgoj i obrazovanje definirane na ishodima učenja</w:t>
      </w:r>
      <w:r w:rsidR="00CF538F" w:rsidRPr="00A815A1">
        <w:rPr>
          <w:rFonts w:ascii="Times New Roman" w:hAnsi="Times New Roman"/>
          <w:color w:val="000000"/>
        </w:rPr>
        <w:t xml:space="preserve">, koji je </w:t>
      </w:r>
      <w:proofErr w:type="spellStart"/>
      <w:r w:rsidR="00CF538F" w:rsidRPr="00A815A1">
        <w:rPr>
          <w:rFonts w:ascii="Times New Roman" w:hAnsi="Times New Roman"/>
          <w:color w:val="000000"/>
        </w:rPr>
        <w:t>djelimično</w:t>
      </w:r>
      <w:proofErr w:type="spellEnd"/>
      <w:r w:rsidR="00CF538F" w:rsidRPr="00A815A1">
        <w:rPr>
          <w:rFonts w:ascii="Times New Roman" w:hAnsi="Times New Roman"/>
          <w:color w:val="000000"/>
        </w:rPr>
        <w:t xml:space="preserve"> realiziran.  Zbog privremenog financiranja i okolnosti uzrokovanih </w:t>
      </w:r>
      <w:proofErr w:type="spellStart"/>
      <w:r w:rsidR="00CF538F" w:rsidRPr="00A815A1">
        <w:rPr>
          <w:rFonts w:ascii="Times New Roman" w:hAnsi="Times New Roman"/>
          <w:color w:val="000000"/>
        </w:rPr>
        <w:t>pandemijom</w:t>
      </w:r>
      <w:proofErr w:type="spellEnd"/>
      <w:r w:rsidR="00CF538F" w:rsidRPr="00A815A1">
        <w:rPr>
          <w:rFonts w:ascii="Times New Roman" w:eastAsia="Calibri" w:hAnsi="Times New Roman"/>
        </w:rPr>
        <w:t>, planirane aktivnosti su započete na kraju godine</w:t>
      </w:r>
      <w:r w:rsidR="00CF538F">
        <w:rPr>
          <w:rFonts w:ascii="Times New Roman" w:eastAsia="Calibri" w:hAnsi="Times New Roman"/>
        </w:rPr>
        <w:t>.</w:t>
      </w:r>
      <w:r w:rsidR="00CF538F" w:rsidRPr="00A815A1">
        <w:rPr>
          <w:rFonts w:ascii="Times New Roman" w:eastAsia="Calibri" w:hAnsi="Times New Roman"/>
        </w:rPr>
        <w:t xml:space="preserve"> </w:t>
      </w:r>
      <w:r w:rsidR="00CF538F" w:rsidRPr="00A815A1">
        <w:rPr>
          <w:rFonts w:ascii="Times New Roman" w:hAnsi="Times New Roman"/>
        </w:rPr>
        <w:t xml:space="preserve">Određen je voditelj projekta, formiran je  projektni tim unutar Agencije </w:t>
      </w:r>
      <w:r w:rsidR="00D25FC9">
        <w:rPr>
          <w:rFonts w:ascii="Times New Roman" w:hAnsi="Times New Roman"/>
        </w:rPr>
        <w:t xml:space="preserve">i izabrani su eksperti. Do kraja 2020. </w:t>
      </w:r>
      <w:r w:rsidR="00CF538F" w:rsidRPr="00A815A1">
        <w:rPr>
          <w:rFonts w:ascii="Times New Roman" w:hAnsi="Times New Roman"/>
        </w:rPr>
        <w:t>održan</w:t>
      </w:r>
      <w:r w:rsidR="00D25FC9">
        <w:rPr>
          <w:rFonts w:ascii="Times New Roman" w:hAnsi="Times New Roman"/>
        </w:rPr>
        <w:t xml:space="preserve"> je prvi on</w:t>
      </w:r>
      <w:r w:rsidR="00CF538F" w:rsidRPr="00A815A1">
        <w:rPr>
          <w:rFonts w:ascii="Times New Roman" w:hAnsi="Times New Roman"/>
        </w:rPr>
        <w:t>line pripremni sastanak, urađena je analiza postojećeg stanja u Bosni i Hercegovini, regiji i zemljama EU i šire kako bi se pripremili za predstojeće aktivnosti. Aktivnosti na realizaciji ovog projekta se nastavljaju u 2021. godini.</w:t>
      </w:r>
    </w:p>
    <w:p w:rsidR="00CF538F" w:rsidRPr="00A815A1" w:rsidRDefault="00CF538F" w:rsidP="00CF538F">
      <w:pPr>
        <w:spacing w:after="0"/>
        <w:jc w:val="both"/>
        <w:rPr>
          <w:rFonts w:ascii="Times New Roman" w:hAnsi="Times New Roman"/>
        </w:rPr>
      </w:pPr>
    </w:p>
    <w:p w:rsidR="00CF538F" w:rsidRDefault="00CF538F" w:rsidP="00CF538F">
      <w:pPr>
        <w:spacing w:after="0"/>
        <w:jc w:val="both"/>
        <w:rPr>
          <w:rFonts w:ascii="Times New Roman" w:hAnsi="Times New Roman"/>
        </w:rPr>
      </w:pPr>
      <w:r>
        <w:rPr>
          <w:rFonts w:ascii="Times New Roman" w:hAnsi="Times New Roman"/>
        </w:rPr>
        <w:t xml:space="preserve">2. </w:t>
      </w:r>
      <w:r w:rsidRPr="00A815A1">
        <w:rPr>
          <w:rFonts w:ascii="Times New Roman" w:hAnsi="Times New Roman"/>
        </w:rPr>
        <w:t>Tijekom 2020. godine definirani su apriorni standardi za bosanski jezik, hrvatski jezik i srpski jezik te za matematiku za kraj III</w:t>
      </w:r>
      <w:r>
        <w:rPr>
          <w:rFonts w:ascii="Times New Roman" w:hAnsi="Times New Roman"/>
        </w:rPr>
        <w:t>.</w:t>
      </w:r>
      <w:r w:rsidRPr="00A815A1">
        <w:rPr>
          <w:rFonts w:ascii="Times New Roman" w:hAnsi="Times New Roman"/>
        </w:rPr>
        <w:t>, VI</w:t>
      </w:r>
      <w:r>
        <w:rPr>
          <w:rFonts w:ascii="Times New Roman" w:hAnsi="Times New Roman"/>
        </w:rPr>
        <w:t>.</w:t>
      </w:r>
      <w:r w:rsidRPr="00A815A1">
        <w:rPr>
          <w:rFonts w:ascii="Times New Roman" w:hAnsi="Times New Roman"/>
        </w:rPr>
        <w:t xml:space="preserve"> i IX</w:t>
      </w:r>
      <w:r>
        <w:rPr>
          <w:rFonts w:ascii="Times New Roman" w:hAnsi="Times New Roman"/>
        </w:rPr>
        <w:t>.</w:t>
      </w:r>
      <w:r w:rsidRPr="00A815A1">
        <w:rPr>
          <w:rFonts w:ascii="Times New Roman" w:hAnsi="Times New Roman"/>
        </w:rPr>
        <w:t xml:space="preserve"> razreda osnovne škole i kraj IV</w:t>
      </w:r>
      <w:r>
        <w:rPr>
          <w:rFonts w:ascii="Times New Roman" w:hAnsi="Times New Roman"/>
        </w:rPr>
        <w:t>.</w:t>
      </w:r>
      <w:r w:rsidRPr="00A815A1">
        <w:rPr>
          <w:rFonts w:ascii="Times New Roman" w:hAnsi="Times New Roman"/>
        </w:rPr>
        <w:t xml:space="preserve"> razreda srednjeg odgoja i obrazovanja, zatim za </w:t>
      </w:r>
      <w:r>
        <w:rPr>
          <w:rFonts w:ascii="Times New Roman" w:hAnsi="Times New Roman"/>
        </w:rPr>
        <w:t>povijest</w:t>
      </w:r>
      <w:r w:rsidRPr="00A815A1">
        <w:rPr>
          <w:rFonts w:ascii="Times New Roman" w:hAnsi="Times New Roman"/>
        </w:rPr>
        <w:t>, biologiju, geografiju za kraj VI</w:t>
      </w:r>
      <w:r>
        <w:rPr>
          <w:rFonts w:ascii="Times New Roman" w:hAnsi="Times New Roman"/>
        </w:rPr>
        <w:t>.</w:t>
      </w:r>
      <w:r w:rsidRPr="00A815A1">
        <w:rPr>
          <w:rFonts w:ascii="Times New Roman" w:hAnsi="Times New Roman"/>
        </w:rPr>
        <w:t xml:space="preserve"> i IX</w:t>
      </w:r>
      <w:r>
        <w:rPr>
          <w:rFonts w:ascii="Times New Roman" w:hAnsi="Times New Roman"/>
        </w:rPr>
        <w:t>.</w:t>
      </w:r>
      <w:r w:rsidRPr="00A815A1">
        <w:rPr>
          <w:rFonts w:ascii="Times New Roman" w:hAnsi="Times New Roman"/>
        </w:rPr>
        <w:t xml:space="preserve"> razreda osnovne škole i kraj IV</w:t>
      </w:r>
      <w:r>
        <w:rPr>
          <w:rFonts w:ascii="Times New Roman" w:hAnsi="Times New Roman"/>
        </w:rPr>
        <w:t>.</w:t>
      </w:r>
      <w:r w:rsidRPr="00A815A1">
        <w:rPr>
          <w:rFonts w:ascii="Times New Roman" w:hAnsi="Times New Roman"/>
        </w:rPr>
        <w:t xml:space="preserve"> razreda srednjeg odgoja i obrazovanja, za  fiziku i kemiju za kraj IX</w:t>
      </w:r>
      <w:r>
        <w:rPr>
          <w:rFonts w:ascii="Times New Roman" w:hAnsi="Times New Roman"/>
        </w:rPr>
        <w:t>.</w:t>
      </w:r>
      <w:r w:rsidRPr="00A815A1">
        <w:rPr>
          <w:rFonts w:ascii="Times New Roman" w:hAnsi="Times New Roman"/>
        </w:rPr>
        <w:t xml:space="preserve"> razreda osnovne škole i kraj IV</w:t>
      </w:r>
      <w:r>
        <w:rPr>
          <w:rFonts w:ascii="Times New Roman" w:hAnsi="Times New Roman"/>
        </w:rPr>
        <w:t>.</w:t>
      </w:r>
      <w:r w:rsidRPr="00A815A1">
        <w:rPr>
          <w:rFonts w:ascii="Times New Roman" w:hAnsi="Times New Roman"/>
        </w:rPr>
        <w:t xml:space="preserve"> razreda srednjeg odgoja i obrazovanja, kao i za prirodne </w:t>
      </w:r>
      <w:r>
        <w:rPr>
          <w:rFonts w:ascii="Times New Roman" w:hAnsi="Times New Roman"/>
        </w:rPr>
        <w:t>znanosti</w:t>
      </w:r>
      <w:r w:rsidRPr="00A815A1">
        <w:rPr>
          <w:rFonts w:ascii="Times New Roman" w:hAnsi="Times New Roman"/>
        </w:rPr>
        <w:t xml:space="preserve"> za kraj III</w:t>
      </w:r>
      <w:r>
        <w:rPr>
          <w:rFonts w:ascii="Times New Roman" w:hAnsi="Times New Roman"/>
        </w:rPr>
        <w:t>.</w:t>
      </w:r>
      <w:r w:rsidRPr="00A815A1">
        <w:rPr>
          <w:rFonts w:ascii="Times New Roman" w:hAnsi="Times New Roman"/>
        </w:rPr>
        <w:t xml:space="preserve"> razreda (priroda i društvo, moja okolina, priroda, druš</w:t>
      </w:r>
      <w:r>
        <w:rPr>
          <w:rFonts w:ascii="Times New Roman" w:hAnsi="Times New Roman"/>
        </w:rPr>
        <w:t>tvo o</w:t>
      </w:r>
      <w:r w:rsidRPr="00A815A1">
        <w:rPr>
          <w:rFonts w:ascii="Times New Roman" w:hAnsi="Times New Roman"/>
        </w:rPr>
        <w:t xml:space="preserve">visno o različitim nazivima predmeta u obrazovnim </w:t>
      </w:r>
      <w:r>
        <w:rPr>
          <w:rFonts w:ascii="Times New Roman" w:hAnsi="Times New Roman"/>
        </w:rPr>
        <w:t>sustavima</w:t>
      </w:r>
      <w:r w:rsidRPr="00A815A1">
        <w:rPr>
          <w:rFonts w:ascii="Times New Roman" w:hAnsi="Times New Roman"/>
        </w:rPr>
        <w:t xml:space="preserve">). Standardi su nastali </w:t>
      </w:r>
      <w:r>
        <w:rPr>
          <w:rFonts w:ascii="Times New Roman" w:hAnsi="Times New Roman"/>
        </w:rPr>
        <w:t>u suradnji s</w:t>
      </w:r>
      <w:r w:rsidRPr="00A815A1">
        <w:rPr>
          <w:rFonts w:ascii="Times New Roman" w:hAnsi="Times New Roman"/>
        </w:rPr>
        <w:t xml:space="preserve"> radnim </w:t>
      </w:r>
      <w:r>
        <w:rPr>
          <w:rFonts w:ascii="Times New Roman" w:hAnsi="Times New Roman"/>
        </w:rPr>
        <w:t>skupinama</w:t>
      </w:r>
      <w:r w:rsidRPr="00A815A1">
        <w:rPr>
          <w:rFonts w:ascii="Times New Roman" w:hAnsi="Times New Roman"/>
        </w:rPr>
        <w:t>- pr</w:t>
      </w:r>
      <w:r>
        <w:rPr>
          <w:rFonts w:ascii="Times New Roman" w:hAnsi="Times New Roman"/>
        </w:rPr>
        <w:t>a</w:t>
      </w:r>
      <w:r w:rsidRPr="00A815A1">
        <w:rPr>
          <w:rFonts w:ascii="Times New Roman" w:hAnsi="Times New Roman"/>
        </w:rPr>
        <w:t xml:space="preserve">ktičarima, liderima i metodičarima za svaki predmet. Definirano je </w:t>
      </w:r>
      <w:r>
        <w:rPr>
          <w:rFonts w:ascii="Times New Roman" w:hAnsi="Times New Roman"/>
        </w:rPr>
        <w:t>osam</w:t>
      </w:r>
      <w:r w:rsidRPr="00A815A1">
        <w:rPr>
          <w:rFonts w:ascii="Times New Roman" w:hAnsi="Times New Roman"/>
        </w:rPr>
        <w:t xml:space="preserve"> predmetnih standarda, odnosno 22 standarda po </w:t>
      </w:r>
      <w:r>
        <w:rPr>
          <w:rFonts w:ascii="Times New Roman" w:hAnsi="Times New Roman"/>
        </w:rPr>
        <w:t>razinama</w:t>
      </w:r>
      <w:r w:rsidRPr="00A815A1">
        <w:rPr>
          <w:rFonts w:ascii="Times New Roman" w:hAnsi="Times New Roman"/>
        </w:rPr>
        <w:t xml:space="preserve"> obrazovanja. U 2020. godini pored planirana četiri predmetna područja, definirana su i dva područja, koja su bila dio Programa rada za 2019.godinu.</w:t>
      </w:r>
    </w:p>
    <w:p w:rsidR="00CF538F" w:rsidRPr="00A815A1" w:rsidRDefault="00CF538F" w:rsidP="00CF538F">
      <w:pPr>
        <w:spacing w:after="0"/>
        <w:jc w:val="both"/>
        <w:rPr>
          <w:rFonts w:ascii="Times New Roman" w:hAnsi="Times New Roman"/>
        </w:rPr>
      </w:pPr>
    </w:p>
    <w:p w:rsidR="00CF538F" w:rsidRPr="00A815A1" w:rsidRDefault="00CF538F" w:rsidP="00CF538F">
      <w:pPr>
        <w:jc w:val="both"/>
        <w:rPr>
          <w:rFonts w:ascii="Times New Roman" w:hAnsi="Times New Roman"/>
        </w:rPr>
      </w:pPr>
      <w:r>
        <w:rPr>
          <w:rFonts w:ascii="Times New Roman" w:hAnsi="Times New Roman"/>
        </w:rPr>
        <w:t xml:space="preserve">3. </w:t>
      </w:r>
      <w:r w:rsidRPr="00A815A1">
        <w:rPr>
          <w:rFonts w:ascii="Times New Roman" w:hAnsi="Times New Roman"/>
        </w:rPr>
        <w:t>U okviru aktivnosti iz oblasti predškolskog odgoja i obrazovanja, tijekom 2020. godine planirano je istraživanje u predškolskim ustanovama vezano za kvalitet</w:t>
      </w:r>
      <w:r>
        <w:rPr>
          <w:rFonts w:ascii="Times New Roman" w:hAnsi="Times New Roman"/>
        </w:rPr>
        <w:t>u</w:t>
      </w:r>
      <w:r w:rsidRPr="00A815A1">
        <w:rPr>
          <w:rFonts w:ascii="Times New Roman" w:hAnsi="Times New Roman"/>
        </w:rPr>
        <w:t xml:space="preserve"> rada, ali je zbog </w:t>
      </w:r>
      <w:proofErr w:type="spellStart"/>
      <w:r w:rsidRPr="00A815A1">
        <w:rPr>
          <w:rFonts w:ascii="Times New Roman" w:hAnsi="Times New Roman"/>
        </w:rPr>
        <w:t>pandemije</w:t>
      </w:r>
      <w:proofErr w:type="spellEnd"/>
      <w:r w:rsidRPr="00A815A1">
        <w:rPr>
          <w:rFonts w:ascii="Times New Roman" w:hAnsi="Times New Roman"/>
        </w:rPr>
        <w:t xml:space="preserve"> i zatvaranja vrtića redefiniran plan aktivnosti te su urađene projektne aktivnosti</w:t>
      </w:r>
      <w:r>
        <w:rPr>
          <w:rFonts w:ascii="Times New Roman" w:hAnsi="Times New Roman"/>
        </w:rPr>
        <w:t xml:space="preserve"> koje su bile</w:t>
      </w:r>
      <w:r w:rsidRPr="00A815A1">
        <w:rPr>
          <w:rFonts w:ascii="Times New Roman" w:hAnsi="Times New Roman"/>
        </w:rPr>
        <w:t xml:space="preserve"> planirane za 2021. godinu. </w:t>
      </w:r>
    </w:p>
    <w:p w:rsidR="00A5210E" w:rsidRPr="007A7631" w:rsidRDefault="00A5210E" w:rsidP="00A5210E">
      <w:pPr>
        <w:spacing w:after="0"/>
        <w:jc w:val="both"/>
        <w:rPr>
          <w:rFonts w:ascii="Times New Roman" w:hAnsi="Times New Roman"/>
        </w:rPr>
      </w:pPr>
    </w:p>
    <w:p w:rsidR="00D7689E" w:rsidRPr="006130AA" w:rsidRDefault="00661158" w:rsidP="00A5210E">
      <w:pPr>
        <w:jc w:val="both"/>
        <w:rPr>
          <w:rFonts w:ascii="Times New Roman" w:hAnsi="Times New Roman" w:cs="Times New Roman"/>
          <w:b/>
        </w:rPr>
      </w:pPr>
      <w:r w:rsidRPr="006130AA">
        <w:rPr>
          <w:rFonts w:ascii="Times New Roman" w:hAnsi="Times New Roman" w:cs="Times New Roman"/>
          <w:b/>
        </w:rPr>
        <w:t xml:space="preserve">B) </w:t>
      </w:r>
      <w:r w:rsidR="00B34CEF" w:rsidRPr="006130AA">
        <w:rPr>
          <w:rFonts w:ascii="Times New Roman" w:hAnsi="Times New Roman" w:cs="Times New Roman"/>
          <w:b/>
        </w:rPr>
        <w:t xml:space="preserve">Sredstva odobrena Proračunom za ostvarivanje utvrđenih ciljeva u ukupnom iznosu od </w:t>
      </w:r>
      <w:r w:rsidR="00B52246" w:rsidRPr="00CF538F">
        <w:rPr>
          <w:rFonts w:ascii="Times New Roman" w:hAnsi="Times New Roman" w:cs="Times New Roman"/>
          <w:b/>
        </w:rPr>
        <w:t>1.</w:t>
      </w:r>
      <w:r w:rsidR="000631D6" w:rsidRPr="00CF538F">
        <w:rPr>
          <w:rFonts w:ascii="Times New Roman" w:hAnsi="Times New Roman" w:cs="Times New Roman"/>
          <w:b/>
        </w:rPr>
        <w:t>2</w:t>
      </w:r>
      <w:r w:rsidR="00CF538F" w:rsidRPr="00CF538F">
        <w:rPr>
          <w:rFonts w:ascii="Times New Roman" w:hAnsi="Times New Roman" w:cs="Times New Roman"/>
          <w:b/>
        </w:rPr>
        <w:t>06</w:t>
      </w:r>
      <w:r w:rsidR="00B52246" w:rsidRPr="00CF538F">
        <w:rPr>
          <w:rFonts w:ascii="Times New Roman" w:hAnsi="Times New Roman" w:cs="Times New Roman"/>
          <w:b/>
        </w:rPr>
        <w:t>.000</w:t>
      </w:r>
      <w:r w:rsidR="00B34CEF" w:rsidRPr="00CF538F">
        <w:rPr>
          <w:rFonts w:ascii="Times New Roman" w:hAnsi="Times New Roman" w:cs="Times New Roman"/>
          <w:b/>
        </w:rPr>
        <w:t xml:space="preserve"> KM </w:t>
      </w:r>
      <w:r w:rsidR="00B34CEF" w:rsidRPr="006130AA">
        <w:rPr>
          <w:rFonts w:ascii="Times New Roman" w:hAnsi="Times New Roman" w:cs="Times New Roman"/>
          <w:b/>
        </w:rPr>
        <w:t>utrošena su namjenski, svrsishodno i zakonito prema sljedećoj strukturi:</w:t>
      </w:r>
    </w:p>
    <w:tbl>
      <w:tblPr>
        <w:tblStyle w:val="Reetkatablice"/>
        <w:tblW w:w="0" w:type="auto"/>
        <w:tblLook w:val="04A0" w:firstRow="1" w:lastRow="0" w:firstColumn="1" w:lastColumn="0" w:noHBand="0" w:noVBand="1"/>
      </w:tblPr>
      <w:tblGrid>
        <w:gridCol w:w="674"/>
        <w:gridCol w:w="3297"/>
        <w:gridCol w:w="2497"/>
        <w:gridCol w:w="2594"/>
      </w:tblGrid>
      <w:tr w:rsidR="00B34CEF" w:rsidRPr="006130AA" w:rsidTr="00B34CEF">
        <w:tc>
          <w:tcPr>
            <w:tcW w:w="675" w:type="dxa"/>
          </w:tcPr>
          <w:p w:rsidR="00B34CEF" w:rsidRPr="006130AA" w:rsidRDefault="00B34CEF" w:rsidP="00B34CEF">
            <w:pPr>
              <w:tabs>
                <w:tab w:val="left" w:pos="960"/>
              </w:tabs>
              <w:rPr>
                <w:rFonts w:ascii="Times New Roman" w:hAnsi="Times New Roman" w:cs="Times New Roman"/>
                <w:b/>
              </w:rPr>
            </w:pPr>
            <w:r w:rsidRPr="006130AA">
              <w:rPr>
                <w:rFonts w:ascii="Times New Roman" w:hAnsi="Times New Roman" w:cs="Times New Roman"/>
                <w:b/>
              </w:rPr>
              <w:t>Red.</w:t>
            </w:r>
          </w:p>
          <w:p w:rsidR="00B34CEF" w:rsidRPr="006130AA" w:rsidRDefault="00B34CEF" w:rsidP="00B34CEF">
            <w:pPr>
              <w:tabs>
                <w:tab w:val="left" w:pos="960"/>
              </w:tabs>
              <w:rPr>
                <w:rFonts w:ascii="Times New Roman" w:hAnsi="Times New Roman" w:cs="Times New Roman"/>
                <w:b/>
              </w:rPr>
            </w:pPr>
            <w:r w:rsidRPr="006130AA">
              <w:rPr>
                <w:rFonts w:ascii="Times New Roman" w:hAnsi="Times New Roman" w:cs="Times New Roman"/>
                <w:b/>
              </w:rPr>
              <w:t>Broj</w:t>
            </w:r>
          </w:p>
        </w:tc>
        <w:tc>
          <w:tcPr>
            <w:tcW w:w="3402" w:type="dxa"/>
          </w:tcPr>
          <w:p w:rsidR="00B34CEF" w:rsidRPr="006130AA" w:rsidRDefault="00B34CEF" w:rsidP="00B34CEF">
            <w:pPr>
              <w:tabs>
                <w:tab w:val="left" w:pos="960"/>
              </w:tabs>
              <w:rPr>
                <w:rFonts w:ascii="Times New Roman" w:hAnsi="Times New Roman" w:cs="Times New Roman"/>
                <w:b/>
              </w:rPr>
            </w:pPr>
            <w:r w:rsidRPr="006130AA">
              <w:rPr>
                <w:rFonts w:ascii="Times New Roman" w:hAnsi="Times New Roman" w:cs="Times New Roman"/>
                <w:b/>
              </w:rPr>
              <w:t>Rashodi</w:t>
            </w:r>
          </w:p>
        </w:tc>
        <w:tc>
          <w:tcPr>
            <w:tcW w:w="2552" w:type="dxa"/>
          </w:tcPr>
          <w:p w:rsidR="00B34CEF" w:rsidRPr="006130AA" w:rsidRDefault="00B34CEF" w:rsidP="00B34CEF">
            <w:pPr>
              <w:tabs>
                <w:tab w:val="left" w:pos="960"/>
              </w:tabs>
              <w:rPr>
                <w:rFonts w:ascii="Times New Roman" w:hAnsi="Times New Roman" w:cs="Times New Roman"/>
                <w:b/>
              </w:rPr>
            </w:pPr>
            <w:r w:rsidRPr="006130AA">
              <w:rPr>
                <w:rFonts w:ascii="Times New Roman" w:hAnsi="Times New Roman" w:cs="Times New Roman"/>
                <w:b/>
              </w:rPr>
              <w:t>Odobreno</w:t>
            </w:r>
          </w:p>
          <w:p w:rsidR="00B34CEF" w:rsidRPr="006130AA" w:rsidRDefault="00835EF9" w:rsidP="00B34CEF">
            <w:pPr>
              <w:tabs>
                <w:tab w:val="left" w:pos="960"/>
              </w:tabs>
              <w:rPr>
                <w:rFonts w:ascii="Times New Roman" w:hAnsi="Times New Roman" w:cs="Times New Roman"/>
                <w:b/>
              </w:rPr>
            </w:pPr>
            <w:r w:rsidRPr="006130AA">
              <w:rPr>
                <w:rFonts w:ascii="Times New Roman" w:hAnsi="Times New Roman" w:cs="Times New Roman"/>
                <w:b/>
              </w:rPr>
              <w:t>p</w:t>
            </w:r>
            <w:r w:rsidR="00B34CEF" w:rsidRPr="006130AA">
              <w:rPr>
                <w:rFonts w:ascii="Times New Roman" w:hAnsi="Times New Roman" w:cs="Times New Roman"/>
                <w:b/>
              </w:rPr>
              <w:t>roračunom</w:t>
            </w:r>
          </w:p>
        </w:tc>
        <w:tc>
          <w:tcPr>
            <w:tcW w:w="2659" w:type="dxa"/>
          </w:tcPr>
          <w:p w:rsidR="00B34CEF" w:rsidRPr="006130AA" w:rsidRDefault="00B34CEF" w:rsidP="00B34CEF">
            <w:pPr>
              <w:tabs>
                <w:tab w:val="left" w:pos="960"/>
              </w:tabs>
              <w:rPr>
                <w:rFonts w:ascii="Times New Roman" w:hAnsi="Times New Roman" w:cs="Times New Roman"/>
                <w:b/>
              </w:rPr>
            </w:pPr>
            <w:r w:rsidRPr="006130AA">
              <w:rPr>
                <w:rFonts w:ascii="Times New Roman" w:hAnsi="Times New Roman" w:cs="Times New Roman"/>
                <w:b/>
              </w:rPr>
              <w:t>Izvršeno</w:t>
            </w:r>
          </w:p>
        </w:tc>
      </w:tr>
      <w:tr w:rsidR="00B34CEF" w:rsidRPr="006130AA" w:rsidTr="00B34CEF">
        <w:tc>
          <w:tcPr>
            <w:tcW w:w="675" w:type="dxa"/>
          </w:tcPr>
          <w:p w:rsidR="00B34CEF" w:rsidRPr="006130AA" w:rsidRDefault="00B34CEF" w:rsidP="00B34CEF">
            <w:pPr>
              <w:tabs>
                <w:tab w:val="left" w:pos="960"/>
              </w:tabs>
              <w:rPr>
                <w:rFonts w:ascii="Times New Roman" w:hAnsi="Times New Roman" w:cs="Times New Roman"/>
              </w:rPr>
            </w:pPr>
            <w:r w:rsidRPr="006130AA">
              <w:rPr>
                <w:rFonts w:ascii="Times New Roman" w:hAnsi="Times New Roman" w:cs="Times New Roman"/>
              </w:rPr>
              <w:t>1.</w:t>
            </w:r>
          </w:p>
        </w:tc>
        <w:tc>
          <w:tcPr>
            <w:tcW w:w="3402" w:type="dxa"/>
          </w:tcPr>
          <w:p w:rsidR="00B34CEF" w:rsidRPr="00883090" w:rsidRDefault="00B34CEF" w:rsidP="00B34CEF">
            <w:pPr>
              <w:tabs>
                <w:tab w:val="left" w:pos="960"/>
              </w:tabs>
              <w:rPr>
                <w:rFonts w:ascii="Times New Roman" w:hAnsi="Times New Roman" w:cs="Times New Roman"/>
                <w:b/>
              </w:rPr>
            </w:pPr>
            <w:r w:rsidRPr="00883090">
              <w:rPr>
                <w:rFonts w:ascii="Times New Roman" w:hAnsi="Times New Roman" w:cs="Times New Roman"/>
                <w:b/>
              </w:rPr>
              <w:t>Plaće i naknade</w:t>
            </w:r>
          </w:p>
        </w:tc>
        <w:tc>
          <w:tcPr>
            <w:tcW w:w="2552" w:type="dxa"/>
          </w:tcPr>
          <w:p w:rsidR="00B34CEF" w:rsidRPr="00CA21F8" w:rsidRDefault="00423193" w:rsidP="00883090">
            <w:pPr>
              <w:rPr>
                <w:rFonts w:ascii="Times New Roman" w:hAnsi="Times New Roman" w:cs="Times New Roman"/>
                <w:b/>
                <w:color w:val="FF0000"/>
              </w:rPr>
            </w:pPr>
            <w:r>
              <w:rPr>
                <w:rFonts w:ascii="Times New Roman" w:hAnsi="Times New Roman" w:cs="Times New Roman"/>
                <w:b/>
                <w:sz w:val="24"/>
                <w:szCs w:val="24"/>
              </w:rPr>
              <w:t>915.000</w:t>
            </w:r>
          </w:p>
        </w:tc>
        <w:tc>
          <w:tcPr>
            <w:tcW w:w="2659" w:type="dxa"/>
          </w:tcPr>
          <w:p w:rsidR="00B34CEF" w:rsidRPr="00CA21F8" w:rsidRDefault="005A21C3" w:rsidP="00883090">
            <w:pPr>
              <w:tabs>
                <w:tab w:val="left" w:pos="960"/>
              </w:tabs>
              <w:rPr>
                <w:rFonts w:ascii="Arial CE" w:hAnsi="Arial CE" w:cs="Arial CE"/>
                <w:b/>
                <w:bCs/>
                <w:color w:val="FF0000"/>
                <w:sz w:val="18"/>
                <w:szCs w:val="18"/>
              </w:rPr>
            </w:pPr>
            <w:r>
              <w:rPr>
                <w:rFonts w:ascii="Times New Roman" w:hAnsi="Times New Roman" w:cs="Times New Roman"/>
                <w:b/>
                <w:sz w:val="24"/>
                <w:szCs w:val="24"/>
              </w:rPr>
              <w:t>779.563,77</w:t>
            </w:r>
            <w:bookmarkStart w:id="0" w:name="_GoBack"/>
            <w:bookmarkEnd w:id="0"/>
          </w:p>
        </w:tc>
      </w:tr>
      <w:tr w:rsidR="00B34CEF" w:rsidRPr="006130AA" w:rsidTr="00B34CEF">
        <w:tc>
          <w:tcPr>
            <w:tcW w:w="675" w:type="dxa"/>
          </w:tcPr>
          <w:p w:rsidR="00B34CEF" w:rsidRPr="006130AA" w:rsidRDefault="00B34CEF" w:rsidP="00B34CEF">
            <w:pPr>
              <w:tabs>
                <w:tab w:val="left" w:pos="960"/>
              </w:tabs>
              <w:rPr>
                <w:rFonts w:ascii="Times New Roman" w:hAnsi="Times New Roman" w:cs="Times New Roman"/>
              </w:rPr>
            </w:pPr>
            <w:r w:rsidRPr="006130AA">
              <w:rPr>
                <w:rFonts w:ascii="Times New Roman" w:hAnsi="Times New Roman" w:cs="Times New Roman"/>
              </w:rPr>
              <w:t>2.</w:t>
            </w:r>
          </w:p>
        </w:tc>
        <w:tc>
          <w:tcPr>
            <w:tcW w:w="3402" w:type="dxa"/>
          </w:tcPr>
          <w:p w:rsidR="00B34CEF" w:rsidRPr="006130AA" w:rsidRDefault="00B34CEF" w:rsidP="00B34CEF">
            <w:pPr>
              <w:tabs>
                <w:tab w:val="left" w:pos="960"/>
              </w:tabs>
              <w:rPr>
                <w:rFonts w:ascii="Times New Roman" w:hAnsi="Times New Roman" w:cs="Times New Roman"/>
              </w:rPr>
            </w:pPr>
            <w:r w:rsidRPr="006130AA">
              <w:rPr>
                <w:rFonts w:ascii="Times New Roman" w:hAnsi="Times New Roman" w:cs="Times New Roman"/>
              </w:rPr>
              <w:t>Materijalni troškovi</w:t>
            </w:r>
          </w:p>
        </w:tc>
        <w:tc>
          <w:tcPr>
            <w:tcW w:w="2552" w:type="dxa"/>
          </w:tcPr>
          <w:p w:rsidR="00B34CEF" w:rsidRPr="00CA21F8" w:rsidRDefault="00423193" w:rsidP="00883090">
            <w:pPr>
              <w:rPr>
                <w:rFonts w:ascii="Arial" w:hAnsi="Arial" w:cs="Arial"/>
                <w:b/>
                <w:bCs/>
                <w:color w:val="FF0000"/>
                <w:sz w:val="20"/>
                <w:szCs w:val="20"/>
              </w:rPr>
            </w:pPr>
            <w:r>
              <w:rPr>
                <w:rFonts w:ascii="Times New Roman" w:hAnsi="Times New Roman" w:cs="Times New Roman"/>
                <w:b/>
              </w:rPr>
              <w:t>254.000</w:t>
            </w:r>
          </w:p>
        </w:tc>
        <w:tc>
          <w:tcPr>
            <w:tcW w:w="2659" w:type="dxa"/>
          </w:tcPr>
          <w:p w:rsidR="00B34CEF" w:rsidRPr="00CA21F8" w:rsidRDefault="00423193" w:rsidP="00883090">
            <w:pPr>
              <w:rPr>
                <w:rFonts w:ascii="Arial" w:hAnsi="Arial" w:cs="Arial"/>
                <w:b/>
                <w:bCs/>
                <w:color w:val="FF0000"/>
                <w:sz w:val="20"/>
                <w:szCs w:val="20"/>
              </w:rPr>
            </w:pPr>
            <w:r>
              <w:rPr>
                <w:rFonts w:ascii="Times New Roman" w:hAnsi="Times New Roman" w:cs="Times New Roman"/>
                <w:b/>
              </w:rPr>
              <w:t>166.814,39</w:t>
            </w:r>
          </w:p>
        </w:tc>
      </w:tr>
      <w:tr w:rsidR="00B34CEF" w:rsidRPr="006130AA" w:rsidTr="00B34CEF">
        <w:tc>
          <w:tcPr>
            <w:tcW w:w="675" w:type="dxa"/>
          </w:tcPr>
          <w:p w:rsidR="00B34CEF" w:rsidRPr="006130AA" w:rsidRDefault="00B34CEF" w:rsidP="00B34CEF">
            <w:pPr>
              <w:tabs>
                <w:tab w:val="left" w:pos="960"/>
              </w:tabs>
              <w:rPr>
                <w:rFonts w:ascii="Times New Roman" w:hAnsi="Times New Roman" w:cs="Times New Roman"/>
              </w:rPr>
            </w:pPr>
            <w:r w:rsidRPr="006130AA">
              <w:rPr>
                <w:rFonts w:ascii="Times New Roman" w:hAnsi="Times New Roman" w:cs="Times New Roman"/>
              </w:rPr>
              <w:t>3.</w:t>
            </w:r>
          </w:p>
        </w:tc>
        <w:tc>
          <w:tcPr>
            <w:tcW w:w="3402" w:type="dxa"/>
          </w:tcPr>
          <w:p w:rsidR="00B34CEF" w:rsidRPr="006130AA" w:rsidRDefault="00B34CEF" w:rsidP="00B34CEF">
            <w:pPr>
              <w:tabs>
                <w:tab w:val="left" w:pos="960"/>
              </w:tabs>
              <w:rPr>
                <w:rFonts w:ascii="Times New Roman" w:hAnsi="Times New Roman" w:cs="Times New Roman"/>
              </w:rPr>
            </w:pPr>
            <w:r w:rsidRPr="006130AA">
              <w:rPr>
                <w:rFonts w:ascii="Times New Roman" w:hAnsi="Times New Roman" w:cs="Times New Roman"/>
              </w:rPr>
              <w:t>Kapitalna ulaganja</w:t>
            </w:r>
          </w:p>
        </w:tc>
        <w:tc>
          <w:tcPr>
            <w:tcW w:w="2552" w:type="dxa"/>
          </w:tcPr>
          <w:p w:rsidR="00B34CEF" w:rsidRPr="00CA21F8" w:rsidRDefault="00CF538F" w:rsidP="00B34CEF">
            <w:pPr>
              <w:tabs>
                <w:tab w:val="left" w:pos="960"/>
              </w:tabs>
              <w:rPr>
                <w:rFonts w:ascii="Times New Roman" w:hAnsi="Times New Roman" w:cs="Times New Roman"/>
                <w:b/>
                <w:color w:val="FF0000"/>
              </w:rPr>
            </w:pPr>
            <w:r w:rsidRPr="00CF538F">
              <w:rPr>
                <w:rFonts w:ascii="Times New Roman" w:hAnsi="Times New Roman" w:cs="Times New Roman"/>
                <w:b/>
              </w:rPr>
              <w:t>37.000</w:t>
            </w:r>
          </w:p>
        </w:tc>
        <w:tc>
          <w:tcPr>
            <w:tcW w:w="2659" w:type="dxa"/>
          </w:tcPr>
          <w:p w:rsidR="00B34CEF" w:rsidRPr="00CA21F8" w:rsidRDefault="00CF538F" w:rsidP="00B34CEF">
            <w:pPr>
              <w:tabs>
                <w:tab w:val="left" w:pos="960"/>
              </w:tabs>
              <w:rPr>
                <w:rFonts w:ascii="Times New Roman" w:hAnsi="Times New Roman" w:cs="Times New Roman"/>
                <w:b/>
                <w:color w:val="FF0000"/>
              </w:rPr>
            </w:pPr>
            <w:r w:rsidRPr="00CF538F">
              <w:rPr>
                <w:rFonts w:ascii="Times New Roman" w:hAnsi="Times New Roman" w:cs="Times New Roman"/>
                <w:b/>
              </w:rPr>
              <w:t>25.740</w:t>
            </w:r>
          </w:p>
        </w:tc>
      </w:tr>
      <w:tr w:rsidR="00B34CEF" w:rsidRPr="006130AA" w:rsidTr="00B34CEF">
        <w:tc>
          <w:tcPr>
            <w:tcW w:w="675" w:type="dxa"/>
          </w:tcPr>
          <w:p w:rsidR="00B34CEF" w:rsidRPr="006130AA" w:rsidRDefault="00B34CEF" w:rsidP="00B34CEF">
            <w:pPr>
              <w:tabs>
                <w:tab w:val="left" w:pos="960"/>
              </w:tabs>
              <w:rPr>
                <w:rFonts w:ascii="Times New Roman" w:hAnsi="Times New Roman" w:cs="Times New Roman"/>
              </w:rPr>
            </w:pPr>
            <w:r w:rsidRPr="006130AA">
              <w:rPr>
                <w:rFonts w:ascii="Times New Roman" w:hAnsi="Times New Roman" w:cs="Times New Roman"/>
              </w:rPr>
              <w:t>4.</w:t>
            </w:r>
          </w:p>
        </w:tc>
        <w:tc>
          <w:tcPr>
            <w:tcW w:w="3402" w:type="dxa"/>
          </w:tcPr>
          <w:p w:rsidR="00B34CEF" w:rsidRPr="006130AA" w:rsidRDefault="00B34CEF" w:rsidP="00B34CEF">
            <w:pPr>
              <w:tabs>
                <w:tab w:val="left" w:pos="960"/>
              </w:tabs>
              <w:rPr>
                <w:rFonts w:ascii="Times New Roman" w:hAnsi="Times New Roman" w:cs="Times New Roman"/>
              </w:rPr>
            </w:pPr>
            <w:r w:rsidRPr="006130AA">
              <w:rPr>
                <w:rFonts w:ascii="Times New Roman" w:hAnsi="Times New Roman" w:cs="Times New Roman"/>
              </w:rPr>
              <w:t>Grantovi</w:t>
            </w:r>
          </w:p>
        </w:tc>
        <w:tc>
          <w:tcPr>
            <w:tcW w:w="2552" w:type="dxa"/>
          </w:tcPr>
          <w:p w:rsidR="00B34CEF" w:rsidRPr="00CA21F8" w:rsidRDefault="00B34CEF" w:rsidP="00B34CEF">
            <w:pPr>
              <w:tabs>
                <w:tab w:val="left" w:pos="960"/>
              </w:tabs>
              <w:rPr>
                <w:rFonts w:ascii="Times New Roman" w:hAnsi="Times New Roman" w:cs="Times New Roman"/>
                <w:b/>
                <w:color w:val="FF0000"/>
              </w:rPr>
            </w:pPr>
          </w:p>
        </w:tc>
        <w:tc>
          <w:tcPr>
            <w:tcW w:w="2659" w:type="dxa"/>
          </w:tcPr>
          <w:p w:rsidR="00B34CEF" w:rsidRPr="00CA21F8" w:rsidRDefault="00B34CEF" w:rsidP="00B34CEF">
            <w:pPr>
              <w:tabs>
                <w:tab w:val="left" w:pos="960"/>
              </w:tabs>
              <w:rPr>
                <w:rFonts w:ascii="Times New Roman" w:hAnsi="Times New Roman" w:cs="Times New Roman"/>
                <w:b/>
                <w:color w:val="FF0000"/>
              </w:rPr>
            </w:pPr>
          </w:p>
        </w:tc>
      </w:tr>
      <w:tr w:rsidR="00B34CEF" w:rsidRPr="006130AA" w:rsidTr="00B34CEF">
        <w:tc>
          <w:tcPr>
            <w:tcW w:w="675" w:type="dxa"/>
          </w:tcPr>
          <w:p w:rsidR="00B34CEF" w:rsidRPr="006130AA" w:rsidRDefault="00B34CEF" w:rsidP="00B34CEF">
            <w:pPr>
              <w:tabs>
                <w:tab w:val="left" w:pos="960"/>
              </w:tabs>
              <w:rPr>
                <w:rFonts w:ascii="Times New Roman" w:hAnsi="Times New Roman" w:cs="Times New Roman"/>
                <w:b/>
              </w:rPr>
            </w:pPr>
          </w:p>
        </w:tc>
        <w:tc>
          <w:tcPr>
            <w:tcW w:w="3402" w:type="dxa"/>
          </w:tcPr>
          <w:p w:rsidR="00B34CEF" w:rsidRPr="006130AA" w:rsidRDefault="00B34CEF" w:rsidP="00B34CEF">
            <w:pPr>
              <w:tabs>
                <w:tab w:val="left" w:pos="960"/>
              </w:tabs>
              <w:rPr>
                <w:rFonts w:ascii="Times New Roman" w:hAnsi="Times New Roman" w:cs="Times New Roman"/>
                <w:b/>
              </w:rPr>
            </w:pPr>
            <w:r w:rsidRPr="006130AA">
              <w:rPr>
                <w:rFonts w:ascii="Times New Roman" w:hAnsi="Times New Roman" w:cs="Times New Roman"/>
                <w:b/>
              </w:rPr>
              <w:t>UKUPNO</w:t>
            </w:r>
          </w:p>
        </w:tc>
        <w:tc>
          <w:tcPr>
            <w:tcW w:w="2552" w:type="dxa"/>
          </w:tcPr>
          <w:p w:rsidR="00B34CEF" w:rsidRPr="00CA21F8" w:rsidRDefault="00CF538F" w:rsidP="00D443FD">
            <w:pPr>
              <w:tabs>
                <w:tab w:val="left" w:pos="960"/>
              </w:tabs>
              <w:rPr>
                <w:rFonts w:ascii="Times New Roman" w:hAnsi="Times New Roman" w:cs="Times New Roman"/>
                <w:b/>
                <w:color w:val="FF0000"/>
              </w:rPr>
            </w:pPr>
            <w:r w:rsidRPr="00CF538F">
              <w:rPr>
                <w:rFonts w:ascii="Times New Roman" w:hAnsi="Times New Roman" w:cs="Times New Roman"/>
                <w:b/>
              </w:rPr>
              <w:t>1.206.000</w:t>
            </w:r>
          </w:p>
        </w:tc>
        <w:tc>
          <w:tcPr>
            <w:tcW w:w="2659" w:type="dxa"/>
          </w:tcPr>
          <w:p w:rsidR="00B34CEF" w:rsidRPr="00CA21F8" w:rsidRDefault="00CF538F" w:rsidP="00B52246">
            <w:pPr>
              <w:tabs>
                <w:tab w:val="left" w:pos="960"/>
              </w:tabs>
              <w:rPr>
                <w:rFonts w:ascii="Times New Roman" w:hAnsi="Times New Roman" w:cs="Times New Roman"/>
                <w:b/>
                <w:color w:val="FF0000"/>
              </w:rPr>
            </w:pPr>
            <w:r w:rsidRPr="006B6A71">
              <w:rPr>
                <w:rFonts w:ascii="Times New Roman" w:hAnsi="Times New Roman" w:cs="Times New Roman"/>
                <w:b/>
                <w:sz w:val="24"/>
                <w:szCs w:val="24"/>
              </w:rPr>
              <w:t xml:space="preserve">972.118 </w:t>
            </w:r>
          </w:p>
        </w:tc>
      </w:tr>
    </w:tbl>
    <w:p w:rsidR="00DF3864" w:rsidRPr="006130AA" w:rsidRDefault="00DF3864" w:rsidP="00B34CEF">
      <w:pPr>
        <w:tabs>
          <w:tab w:val="left" w:pos="960"/>
        </w:tabs>
        <w:rPr>
          <w:rFonts w:ascii="Times New Roman" w:hAnsi="Times New Roman" w:cs="Times New Roman"/>
          <w:b/>
        </w:rPr>
      </w:pPr>
    </w:p>
    <w:p w:rsidR="00B34CEF" w:rsidRPr="006130AA" w:rsidRDefault="00B34CEF" w:rsidP="00B34CEF">
      <w:pPr>
        <w:tabs>
          <w:tab w:val="left" w:pos="960"/>
        </w:tabs>
        <w:rPr>
          <w:rFonts w:ascii="Times New Roman" w:hAnsi="Times New Roman" w:cs="Times New Roman"/>
          <w:b/>
        </w:rPr>
      </w:pPr>
      <w:r w:rsidRPr="006130AA">
        <w:rPr>
          <w:rFonts w:ascii="Times New Roman" w:hAnsi="Times New Roman" w:cs="Times New Roman"/>
          <w:b/>
        </w:rPr>
        <w:t>Odstupanja izvršenih od od</w:t>
      </w:r>
      <w:r w:rsidR="00835EF9" w:rsidRPr="006130AA">
        <w:rPr>
          <w:rFonts w:ascii="Times New Roman" w:hAnsi="Times New Roman" w:cs="Times New Roman"/>
          <w:b/>
        </w:rPr>
        <w:t>o</w:t>
      </w:r>
      <w:r w:rsidRPr="006130AA">
        <w:rPr>
          <w:rFonts w:ascii="Times New Roman" w:hAnsi="Times New Roman" w:cs="Times New Roman"/>
          <w:b/>
        </w:rPr>
        <w:t>brenih rashoda rezultat su:</w:t>
      </w:r>
    </w:p>
    <w:p w:rsidR="008F6140" w:rsidRDefault="008F6140" w:rsidP="008D0B63">
      <w:pPr>
        <w:tabs>
          <w:tab w:val="left" w:pos="960"/>
        </w:tabs>
        <w:jc w:val="both"/>
        <w:rPr>
          <w:rFonts w:ascii="Times New Roman" w:hAnsi="Times New Roman" w:cs="Times New Roman"/>
          <w:sz w:val="24"/>
          <w:szCs w:val="24"/>
          <w:lang w:val="hr-HR"/>
        </w:rPr>
      </w:pPr>
      <w:r w:rsidRPr="006130AA">
        <w:rPr>
          <w:rFonts w:ascii="Times New Roman" w:hAnsi="Times New Roman" w:cs="Times New Roman"/>
          <w:sz w:val="24"/>
          <w:szCs w:val="24"/>
        </w:rPr>
        <w:t xml:space="preserve">Agencija ima manje izvršenje na poziciji plaće i naknade </w:t>
      </w:r>
      <w:r w:rsidR="008D0B63" w:rsidRPr="006130AA">
        <w:rPr>
          <w:rFonts w:ascii="Times New Roman" w:hAnsi="Times New Roman" w:cs="Times New Roman"/>
          <w:sz w:val="24"/>
          <w:szCs w:val="24"/>
        </w:rPr>
        <w:t>zbog većeg broja službenika koji su ostvarili starosnu mirovinu</w:t>
      </w:r>
      <w:r w:rsidR="00883090">
        <w:rPr>
          <w:rFonts w:ascii="Times New Roman" w:hAnsi="Times New Roman" w:cs="Times New Roman"/>
          <w:sz w:val="24"/>
          <w:szCs w:val="24"/>
        </w:rPr>
        <w:t xml:space="preserve">, ili istupili iz državne službe u periodu od </w:t>
      </w:r>
      <w:r w:rsidR="008D0B63" w:rsidRPr="006130AA">
        <w:rPr>
          <w:rFonts w:ascii="Times New Roman" w:hAnsi="Times New Roman" w:cs="Times New Roman"/>
          <w:sz w:val="24"/>
          <w:szCs w:val="24"/>
        </w:rPr>
        <w:t>2015.</w:t>
      </w:r>
      <w:r w:rsidR="00883090">
        <w:rPr>
          <w:rFonts w:ascii="Times New Roman" w:hAnsi="Times New Roman" w:cs="Times New Roman"/>
          <w:sz w:val="24"/>
          <w:szCs w:val="24"/>
        </w:rPr>
        <w:t xml:space="preserve"> godine</w:t>
      </w:r>
      <w:r w:rsidR="008D0B63" w:rsidRPr="006130AA">
        <w:rPr>
          <w:rFonts w:ascii="Times New Roman" w:hAnsi="Times New Roman" w:cs="Times New Roman"/>
          <w:sz w:val="24"/>
          <w:szCs w:val="24"/>
        </w:rPr>
        <w:t xml:space="preserve"> </w:t>
      </w:r>
      <w:r w:rsidR="00883090">
        <w:rPr>
          <w:rFonts w:ascii="Times New Roman" w:hAnsi="Times New Roman" w:cs="Times New Roman"/>
          <w:sz w:val="24"/>
          <w:szCs w:val="24"/>
        </w:rPr>
        <w:t>do rujna 2018. godine</w:t>
      </w:r>
      <w:r w:rsidR="008D0B63" w:rsidRPr="006130AA">
        <w:rPr>
          <w:rFonts w:ascii="Times New Roman" w:hAnsi="Times New Roman" w:cs="Times New Roman"/>
          <w:sz w:val="24"/>
          <w:szCs w:val="24"/>
        </w:rPr>
        <w:t xml:space="preserve">. Ukupno </w:t>
      </w:r>
      <w:r w:rsidR="00883090">
        <w:rPr>
          <w:rFonts w:ascii="Times New Roman" w:hAnsi="Times New Roman" w:cs="Times New Roman"/>
          <w:sz w:val="24"/>
          <w:szCs w:val="24"/>
        </w:rPr>
        <w:t>šet državnih</w:t>
      </w:r>
      <w:r w:rsidR="008D0B63" w:rsidRPr="006130AA">
        <w:rPr>
          <w:rFonts w:ascii="Times New Roman" w:hAnsi="Times New Roman" w:cs="Times New Roman"/>
          <w:sz w:val="24"/>
          <w:szCs w:val="24"/>
        </w:rPr>
        <w:t xml:space="preserve"> službenika </w:t>
      </w:r>
      <w:r w:rsidR="00883090">
        <w:rPr>
          <w:rFonts w:ascii="Times New Roman" w:hAnsi="Times New Roman" w:cs="Times New Roman"/>
          <w:sz w:val="24"/>
          <w:szCs w:val="24"/>
        </w:rPr>
        <w:t xml:space="preserve"> je manje uposleno u odnosu na planirana proračunska sredstva.</w:t>
      </w:r>
      <w:r w:rsidR="008D0B63" w:rsidRPr="006130AA">
        <w:rPr>
          <w:rFonts w:ascii="Times New Roman" w:hAnsi="Times New Roman" w:cs="Times New Roman"/>
          <w:sz w:val="24"/>
          <w:szCs w:val="24"/>
        </w:rPr>
        <w:t xml:space="preserve"> U </w:t>
      </w:r>
      <w:r w:rsidR="00CA21F8">
        <w:rPr>
          <w:rFonts w:ascii="Times New Roman" w:hAnsi="Times New Roman" w:cs="Times New Roman"/>
          <w:sz w:val="24"/>
          <w:szCs w:val="24"/>
        </w:rPr>
        <w:t>izvještajnom</w:t>
      </w:r>
      <w:r w:rsidR="008D0B63" w:rsidRPr="006130AA">
        <w:rPr>
          <w:rFonts w:ascii="Times New Roman" w:hAnsi="Times New Roman" w:cs="Times New Roman"/>
          <w:sz w:val="24"/>
          <w:szCs w:val="24"/>
        </w:rPr>
        <w:t xml:space="preserve"> p</w:t>
      </w:r>
      <w:r w:rsidR="00CA21F8">
        <w:rPr>
          <w:rFonts w:ascii="Times New Roman" w:hAnsi="Times New Roman" w:cs="Times New Roman"/>
          <w:sz w:val="24"/>
          <w:szCs w:val="24"/>
        </w:rPr>
        <w:t>e</w:t>
      </w:r>
      <w:r w:rsidR="00D253FD">
        <w:rPr>
          <w:rFonts w:ascii="Times New Roman" w:hAnsi="Times New Roman" w:cs="Times New Roman"/>
          <w:sz w:val="24"/>
          <w:szCs w:val="24"/>
        </w:rPr>
        <w:t xml:space="preserve">riodu izvršeno </w:t>
      </w:r>
      <w:r w:rsidR="00D25FC9">
        <w:rPr>
          <w:rFonts w:ascii="Times New Roman" w:hAnsi="Times New Roman" w:cs="Times New Roman"/>
          <w:sz w:val="24"/>
          <w:szCs w:val="24"/>
        </w:rPr>
        <w:t xml:space="preserve">je </w:t>
      </w:r>
      <w:r w:rsidR="00D253FD">
        <w:rPr>
          <w:rFonts w:ascii="Times New Roman" w:hAnsi="Times New Roman" w:cs="Times New Roman"/>
          <w:sz w:val="24"/>
          <w:szCs w:val="24"/>
        </w:rPr>
        <w:t>upošljavanje pet novih službenika, a jedan</w:t>
      </w:r>
      <w:r w:rsidR="00D25FC9">
        <w:rPr>
          <w:rFonts w:ascii="Times New Roman" w:hAnsi="Times New Roman" w:cs="Times New Roman"/>
          <w:sz w:val="24"/>
          <w:szCs w:val="24"/>
        </w:rPr>
        <w:t xml:space="preserve"> od ranije uposlenih</w:t>
      </w:r>
      <w:r w:rsidR="00D253FD">
        <w:rPr>
          <w:rFonts w:ascii="Times New Roman" w:hAnsi="Times New Roman" w:cs="Times New Roman"/>
          <w:sz w:val="24"/>
          <w:szCs w:val="24"/>
        </w:rPr>
        <w:t xml:space="preserve"> službenik</w:t>
      </w:r>
      <w:r w:rsidR="00D25FC9">
        <w:rPr>
          <w:rFonts w:ascii="Times New Roman" w:hAnsi="Times New Roman" w:cs="Times New Roman"/>
          <w:sz w:val="24"/>
          <w:szCs w:val="24"/>
        </w:rPr>
        <w:t>a</w:t>
      </w:r>
      <w:r w:rsidR="00D253FD">
        <w:rPr>
          <w:rFonts w:ascii="Times New Roman" w:hAnsi="Times New Roman" w:cs="Times New Roman"/>
          <w:sz w:val="24"/>
          <w:szCs w:val="24"/>
        </w:rPr>
        <w:t xml:space="preserve"> je putem javnog oglasa postavljen na novu poziciju. </w:t>
      </w:r>
      <w:r w:rsidRPr="006130AA">
        <w:rPr>
          <w:rFonts w:ascii="Times New Roman" w:hAnsi="Times New Roman" w:cs="Times New Roman"/>
          <w:sz w:val="24"/>
          <w:szCs w:val="24"/>
          <w:lang w:val="hr-HR"/>
        </w:rPr>
        <w:t>Agencija po sistematizaciji ima planirano 46 radnih mjesta, a dozvoljen</w:t>
      </w:r>
      <w:r w:rsidR="008D0B63" w:rsidRPr="006130AA">
        <w:rPr>
          <w:rFonts w:ascii="Times New Roman" w:hAnsi="Times New Roman" w:cs="Times New Roman"/>
          <w:sz w:val="24"/>
          <w:szCs w:val="24"/>
          <w:lang w:val="hr-HR"/>
        </w:rPr>
        <w:t xml:space="preserve">o je 27 radnih mjesta, od kojih </w:t>
      </w:r>
      <w:r w:rsidR="00883090">
        <w:rPr>
          <w:rFonts w:ascii="Times New Roman" w:hAnsi="Times New Roman" w:cs="Times New Roman"/>
          <w:sz w:val="24"/>
          <w:szCs w:val="24"/>
          <w:lang w:val="hr-HR"/>
        </w:rPr>
        <w:t xml:space="preserve">na kraju izvještajnog perioda </w:t>
      </w:r>
      <w:r w:rsidR="008D0B63" w:rsidRPr="006130AA">
        <w:rPr>
          <w:rFonts w:ascii="Times New Roman" w:hAnsi="Times New Roman" w:cs="Times New Roman"/>
          <w:sz w:val="24"/>
          <w:szCs w:val="24"/>
          <w:lang w:val="hr-HR"/>
        </w:rPr>
        <w:t>imamo popunjen</w:t>
      </w:r>
      <w:r w:rsidR="00883090">
        <w:rPr>
          <w:rFonts w:ascii="Times New Roman" w:hAnsi="Times New Roman" w:cs="Times New Roman"/>
          <w:sz w:val="24"/>
          <w:szCs w:val="24"/>
          <w:lang w:val="hr-HR"/>
        </w:rPr>
        <w:t>o</w:t>
      </w:r>
      <w:r w:rsidR="008D0B63" w:rsidRPr="006130AA">
        <w:rPr>
          <w:rFonts w:ascii="Times New Roman" w:hAnsi="Times New Roman" w:cs="Times New Roman"/>
          <w:sz w:val="24"/>
          <w:szCs w:val="24"/>
          <w:lang w:val="hr-HR"/>
        </w:rPr>
        <w:t xml:space="preserve"> 2</w:t>
      </w:r>
      <w:r w:rsidR="00D253FD">
        <w:rPr>
          <w:rFonts w:ascii="Times New Roman" w:hAnsi="Times New Roman" w:cs="Times New Roman"/>
          <w:sz w:val="24"/>
          <w:szCs w:val="24"/>
          <w:lang w:val="hr-HR"/>
        </w:rPr>
        <w:t>6</w:t>
      </w:r>
      <w:r w:rsidR="008D0B63" w:rsidRPr="006130AA">
        <w:rPr>
          <w:rFonts w:ascii="Times New Roman" w:hAnsi="Times New Roman" w:cs="Times New Roman"/>
          <w:sz w:val="24"/>
          <w:szCs w:val="24"/>
          <w:lang w:val="hr-HR"/>
        </w:rPr>
        <w:t xml:space="preserve"> radn</w:t>
      </w:r>
      <w:r w:rsidR="00D253FD">
        <w:rPr>
          <w:rFonts w:ascii="Times New Roman" w:hAnsi="Times New Roman" w:cs="Times New Roman"/>
          <w:sz w:val="24"/>
          <w:szCs w:val="24"/>
          <w:lang w:val="hr-HR"/>
        </w:rPr>
        <w:t>ih</w:t>
      </w:r>
      <w:r w:rsidR="008D0B63" w:rsidRPr="006130AA">
        <w:rPr>
          <w:rFonts w:ascii="Times New Roman" w:hAnsi="Times New Roman" w:cs="Times New Roman"/>
          <w:sz w:val="24"/>
          <w:szCs w:val="24"/>
          <w:lang w:val="hr-HR"/>
        </w:rPr>
        <w:t xml:space="preserve"> mjes</w:t>
      </w:r>
      <w:r w:rsidR="00D253FD">
        <w:rPr>
          <w:rFonts w:ascii="Times New Roman" w:hAnsi="Times New Roman" w:cs="Times New Roman"/>
          <w:sz w:val="24"/>
          <w:szCs w:val="24"/>
          <w:lang w:val="hr-HR"/>
        </w:rPr>
        <w:t>ta</w:t>
      </w:r>
      <w:r w:rsidR="008D0B63" w:rsidRPr="006130AA">
        <w:rPr>
          <w:rFonts w:ascii="Times New Roman" w:hAnsi="Times New Roman" w:cs="Times New Roman"/>
          <w:sz w:val="24"/>
          <w:szCs w:val="24"/>
          <w:lang w:val="hr-HR"/>
        </w:rPr>
        <w:t xml:space="preserve"> te </w:t>
      </w:r>
      <w:r w:rsidR="00D25FC9">
        <w:rPr>
          <w:rFonts w:ascii="Times New Roman" w:hAnsi="Times New Roman" w:cs="Times New Roman"/>
          <w:sz w:val="24"/>
          <w:szCs w:val="24"/>
          <w:lang w:val="hr-HR"/>
        </w:rPr>
        <w:t xml:space="preserve">je na temelju </w:t>
      </w:r>
      <w:proofErr w:type="spellStart"/>
      <w:r w:rsidR="00D25FC9">
        <w:rPr>
          <w:rFonts w:ascii="Times New Roman" w:hAnsi="Times New Roman" w:cs="Times New Roman"/>
          <w:sz w:val="24"/>
          <w:szCs w:val="24"/>
          <w:lang w:val="hr-HR"/>
        </w:rPr>
        <w:t>narečenog</w:t>
      </w:r>
      <w:proofErr w:type="spellEnd"/>
      <w:r w:rsidR="00D25FC9">
        <w:rPr>
          <w:rFonts w:ascii="Times New Roman" w:hAnsi="Times New Roman" w:cs="Times New Roman"/>
          <w:sz w:val="24"/>
          <w:szCs w:val="24"/>
          <w:lang w:val="hr-HR"/>
        </w:rPr>
        <w:t xml:space="preserve"> manja</w:t>
      </w:r>
      <w:r w:rsidR="00D253FD">
        <w:rPr>
          <w:rFonts w:ascii="Times New Roman" w:hAnsi="Times New Roman" w:cs="Times New Roman"/>
          <w:sz w:val="24"/>
          <w:szCs w:val="24"/>
          <w:lang w:val="hr-HR"/>
        </w:rPr>
        <w:t xml:space="preserve"> realizacija na stavci plaća i naknada. </w:t>
      </w:r>
    </w:p>
    <w:p w:rsidR="00D253FD" w:rsidRDefault="00D253FD" w:rsidP="008D0B63">
      <w:pPr>
        <w:tabs>
          <w:tab w:val="left" w:pos="960"/>
        </w:tabs>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 stavci materijalnih troškova došlo </w:t>
      </w:r>
      <w:r w:rsidR="00D25FC9">
        <w:rPr>
          <w:rFonts w:ascii="Times New Roman" w:hAnsi="Times New Roman" w:cs="Times New Roman"/>
          <w:sz w:val="24"/>
          <w:szCs w:val="24"/>
          <w:lang w:val="hr-HR"/>
        </w:rPr>
        <w:t xml:space="preserve">je </w:t>
      </w:r>
      <w:r>
        <w:rPr>
          <w:rFonts w:ascii="Times New Roman" w:hAnsi="Times New Roman" w:cs="Times New Roman"/>
          <w:sz w:val="24"/>
          <w:szCs w:val="24"/>
          <w:lang w:val="hr-HR"/>
        </w:rPr>
        <w:t xml:space="preserve">do manje realizacije na stavkama koje se odnose na putne troškove, troškove goriva i održavanja opreme, a što je u izravnoj vezi s </w:t>
      </w:r>
      <w:proofErr w:type="spellStart"/>
      <w:r>
        <w:rPr>
          <w:rFonts w:ascii="Times New Roman" w:hAnsi="Times New Roman" w:cs="Times New Roman"/>
          <w:sz w:val="24"/>
          <w:szCs w:val="24"/>
          <w:lang w:val="hr-HR"/>
        </w:rPr>
        <w:t>pandemijom</w:t>
      </w:r>
      <w:proofErr w:type="spellEnd"/>
      <w:r>
        <w:rPr>
          <w:rFonts w:ascii="Times New Roman" w:hAnsi="Times New Roman" w:cs="Times New Roman"/>
          <w:sz w:val="24"/>
          <w:szCs w:val="24"/>
          <w:lang w:val="hr-HR"/>
        </w:rPr>
        <w:t xml:space="preserve"> korona virusa i većina aktivnosti je reducirana, odnosno prebačena na elektronski vid održavanja umjesto planiranih sastanaka  i putovanja. Također, zbog nabave nove računalne opreme nije bilo uputno vršiti dodatna ulaganja u održavanje postojeće opreme, čime je realizacija na ovoj stavci značajno manja.</w:t>
      </w:r>
    </w:p>
    <w:p w:rsidR="00D253FD" w:rsidRPr="006130AA" w:rsidRDefault="00D253FD" w:rsidP="008D0B63">
      <w:pPr>
        <w:tabs>
          <w:tab w:val="left" w:pos="960"/>
        </w:tabs>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U 2020. godini je izvršena nabava računalne opreme sukladno odobrenim sredstvima. Do manje potrošnje sredstava je došlo zbog primjene e-aukcije u postupku javne nabave, gdje su ponuđači korigirali i snizili cijene u velikom procentu, što je rezultiralo manjom cijenom nabave.</w:t>
      </w:r>
    </w:p>
    <w:p w:rsidR="00B34CEF" w:rsidRPr="006130AA" w:rsidRDefault="00707156" w:rsidP="00707156">
      <w:pPr>
        <w:tabs>
          <w:tab w:val="left" w:pos="960"/>
        </w:tabs>
        <w:rPr>
          <w:rFonts w:ascii="Times New Roman" w:hAnsi="Times New Roman" w:cs="Times New Roman"/>
          <w:b/>
        </w:rPr>
      </w:pPr>
      <w:r w:rsidRPr="006130AA">
        <w:rPr>
          <w:rFonts w:ascii="Times New Roman" w:hAnsi="Times New Roman" w:cs="Times New Roman"/>
          <w:b/>
        </w:rPr>
        <w:t xml:space="preserve">C) </w:t>
      </w:r>
      <w:r w:rsidR="00B34CEF" w:rsidRPr="006130AA">
        <w:rPr>
          <w:rFonts w:ascii="Times New Roman" w:hAnsi="Times New Roman" w:cs="Times New Roman"/>
          <w:b/>
        </w:rPr>
        <w:t>Uspostava i sprovođenje sustava financijskog upravljanja i kontrole utemeljeni su na podlogama iz čl. 33b i 33c. Zakona o financiranju institucija Bosne i Hercegovine, i to:</w:t>
      </w:r>
    </w:p>
    <w:p w:rsidR="00DF3864" w:rsidRPr="006130AA" w:rsidRDefault="00FF1B69" w:rsidP="008D0B63">
      <w:pPr>
        <w:tabs>
          <w:tab w:val="left" w:pos="960"/>
        </w:tabs>
        <w:jc w:val="both"/>
        <w:rPr>
          <w:rFonts w:ascii="Times New Roman" w:hAnsi="Times New Roman" w:cs="Times New Roman"/>
        </w:rPr>
      </w:pPr>
      <w:r w:rsidRPr="006130AA">
        <w:rPr>
          <w:rFonts w:ascii="Times New Roman" w:hAnsi="Times New Roman" w:cs="Times New Roman"/>
        </w:rPr>
        <w:t xml:space="preserve">Agencija kontinurano nastoji unaprijediti sustav financijskog upravljanja i kontrole, korigira i dorađuje interne procedure </w:t>
      </w:r>
      <w:r w:rsidR="00065F55" w:rsidRPr="006130AA">
        <w:rPr>
          <w:rFonts w:ascii="Times New Roman" w:hAnsi="Times New Roman" w:cs="Times New Roman"/>
        </w:rPr>
        <w:t xml:space="preserve">i pravilnike. </w:t>
      </w:r>
    </w:p>
    <w:p w:rsidR="00B34CEF" w:rsidRPr="006130AA" w:rsidRDefault="00065F55" w:rsidP="008D0B63">
      <w:pPr>
        <w:tabs>
          <w:tab w:val="left" w:pos="960"/>
        </w:tabs>
        <w:jc w:val="both"/>
        <w:rPr>
          <w:rFonts w:ascii="Times New Roman" w:hAnsi="Times New Roman" w:cs="Times New Roman"/>
        </w:rPr>
      </w:pPr>
      <w:r w:rsidRPr="006130AA">
        <w:rPr>
          <w:rFonts w:ascii="Times New Roman" w:hAnsi="Times New Roman" w:cs="Times New Roman"/>
        </w:rPr>
        <w:t>Također, kontinuirano se radi na dopuni internih akata kojima je regulirano financijsko poslovanje, a što je posebno intenzivirano kroz suradnju s Jedinicom za internu reviziju Ministarstva civilnih poslova. Poseban naglasak je stavljen na razvoj i jačanje sustava internih kontrola.</w:t>
      </w:r>
    </w:p>
    <w:p w:rsidR="00B34CEF" w:rsidRPr="006130AA" w:rsidRDefault="00B34CEF" w:rsidP="00B34CEF">
      <w:pPr>
        <w:tabs>
          <w:tab w:val="left" w:pos="960"/>
        </w:tabs>
        <w:rPr>
          <w:rFonts w:ascii="Times New Roman" w:hAnsi="Times New Roman" w:cs="Times New Roman"/>
          <w:b/>
        </w:rPr>
      </w:pPr>
      <w:r w:rsidRPr="006130AA">
        <w:rPr>
          <w:rFonts w:ascii="Times New Roman" w:hAnsi="Times New Roman" w:cs="Times New Roman"/>
          <w:b/>
        </w:rPr>
        <w:t>Nisu realizirane ili su djelimično realizirane aktivnosti:</w:t>
      </w:r>
    </w:p>
    <w:p w:rsidR="00065F55" w:rsidRPr="006130AA" w:rsidRDefault="00065F55" w:rsidP="00B34CEF">
      <w:pPr>
        <w:tabs>
          <w:tab w:val="left" w:pos="960"/>
        </w:tabs>
        <w:rPr>
          <w:rFonts w:ascii="Times New Roman" w:hAnsi="Times New Roman" w:cs="Times New Roman"/>
        </w:rPr>
      </w:pPr>
      <w:r w:rsidRPr="006130AA">
        <w:rPr>
          <w:rFonts w:ascii="Times New Roman" w:hAnsi="Times New Roman" w:cs="Times New Roman"/>
        </w:rPr>
        <w:t>Aktivnosti su realizirane sukladno Akcionom planu za financijsko upravljanje i kontrolu Agencije za predškolsko, osnovno i srednje obrazovanje.</w:t>
      </w:r>
    </w:p>
    <w:p w:rsidR="002352F7" w:rsidRPr="006130AA" w:rsidRDefault="002352F7" w:rsidP="003463B8">
      <w:pPr>
        <w:tabs>
          <w:tab w:val="left" w:pos="960"/>
        </w:tabs>
        <w:rPr>
          <w:rFonts w:ascii="Times New Roman" w:hAnsi="Times New Roman" w:cs="Times New Roman"/>
          <w:b/>
        </w:rPr>
      </w:pPr>
      <w:r w:rsidRPr="006130AA">
        <w:rPr>
          <w:rFonts w:ascii="Times New Roman" w:hAnsi="Times New Roman" w:cs="Times New Roman"/>
          <w:b/>
        </w:rPr>
        <w:t>INFORMACIJA O KOREKTIVNIM RADNJAMA PREDUZETIM S CILJEM REALIZACIJE PREPORUKA REVIZIJE IZ PRETHODNIH GODINA</w:t>
      </w:r>
    </w:p>
    <w:p w:rsidR="006130AA" w:rsidRDefault="006130AA" w:rsidP="00470AE0">
      <w:pPr>
        <w:tabs>
          <w:tab w:val="left" w:pos="960"/>
        </w:tabs>
        <w:jc w:val="both"/>
        <w:rPr>
          <w:rFonts w:ascii="Times New Roman" w:hAnsi="Times New Roman" w:cs="Times New Roman"/>
        </w:rPr>
      </w:pPr>
      <w:r w:rsidRPr="006130AA">
        <w:rPr>
          <w:rFonts w:ascii="Times New Roman" w:hAnsi="Times New Roman" w:cs="Times New Roman"/>
        </w:rPr>
        <w:t>Agencija je nastavila provoditi sustav internih kontrola i poslovanja na ostvarenoj razini, uz stalna nastojanja u poboljšanju kvalitete internih kontrola.</w:t>
      </w:r>
      <w:r w:rsidR="00D253FD">
        <w:rPr>
          <w:rFonts w:ascii="Times New Roman" w:hAnsi="Times New Roman" w:cs="Times New Roman"/>
        </w:rPr>
        <w:t xml:space="preserve"> Revizija je is</w:t>
      </w:r>
      <w:r w:rsidR="00470AE0">
        <w:rPr>
          <w:rFonts w:ascii="Times New Roman" w:hAnsi="Times New Roman" w:cs="Times New Roman"/>
        </w:rPr>
        <w:t>takla dvije preporuke i Agencija je u izvještajnom razdoblju poduzela potrebne mjere i korigirala procese za koje je revizija istakla preporuke. S tim u vezi, Agencija je korigirala isplate stimulacija, a obzirom da je došlo do popunjavanja radnih mjesta, potreba za tom vrstom isplate je značajno umanjena. Druga preporuka se odnosila na obračun inventure Agencije, a što je korigirano prilikom provedbe popisa za 2020. godinu.</w:t>
      </w:r>
    </w:p>
    <w:p w:rsidR="00A37DD0" w:rsidRDefault="00A37DD0" w:rsidP="00DF0E06">
      <w:pPr>
        <w:tabs>
          <w:tab w:val="left" w:pos="960"/>
        </w:tabs>
        <w:rPr>
          <w:rFonts w:ascii="Times New Roman" w:hAnsi="Times New Roman" w:cs="Times New Roman"/>
        </w:rPr>
      </w:pPr>
    </w:p>
    <w:p w:rsidR="00A37DD0" w:rsidRDefault="00A37DD0" w:rsidP="00DF0E06">
      <w:pPr>
        <w:tabs>
          <w:tab w:val="left" w:pos="960"/>
        </w:tabs>
        <w:rPr>
          <w:rFonts w:ascii="Times New Roman" w:hAnsi="Times New Roman" w:cs="Times New Roman"/>
          <w:b/>
        </w:rPr>
      </w:pPr>
      <w:r>
        <w:rPr>
          <w:rFonts w:ascii="Times New Roman" w:hAnsi="Times New Roman" w:cs="Times New Roman"/>
          <w:b/>
        </w:rPr>
        <w:t>INFORMACIJA O REALIZACIJI PREPORUKA INTERNE REVIZIJE</w:t>
      </w:r>
    </w:p>
    <w:p w:rsidR="00A37DD0" w:rsidRDefault="00470AE0" w:rsidP="00D039E6">
      <w:pPr>
        <w:tabs>
          <w:tab w:val="left" w:pos="960"/>
        </w:tabs>
        <w:jc w:val="both"/>
        <w:rPr>
          <w:rFonts w:ascii="Times New Roman" w:hAnsi="Times New Roman" w:cs="Times New Roman"/>
        </w:rPr>
      </w:pPr>
      <w:r>
        <w:rPr>
          <w:rFonts w:ascii="Times New Roman" w:hAnsi="Times New Roman" w:cs="Times New Roman"/>
        </w:rPr>
        <w:t xml:space="preserve">U izvještajnom periodu, nije bilo aktivnosti interne revizije u smislu davanja mišljenja na pojedine procese u Agenciji. </w:t>
      </w:r>
    </w:p>
    <w:p w:rsidR="00470AE0" w:rsidRPr="00A37DD0" w:rsidRDefault="00470AE0" w:rsidP="00D039E6">
      <w:pPr>
        <w:tabs>
          <w:tab w:val="left" w:pos="960"/>
        </w:tabs>
        <w:jc w:val="both"/>
        <w:rPr>
          <w:rFonts w:ascii="Times New Roman" w:hAnsi="Times New Roman" w:cs="Times New Roman"/>
        </w:rPr>
      </w:pPr>
    </w:p>
    <w:p w:rsidR="002D3EF3" w:rsidRPr="006130AA" w:rsidRDefault="002D3EF3" w:rsidP="002352F7">
      <w:pPr>
        <w:tabs>
          <w:tab w:val="left" w:pos="960"/>
        </w:tabs>
        <w:jc w:val="both"/>
        <w:rPr>
          <w:rFonts w:ascii="Times New Roman" w:hAnsi="Times New Roman" w:cs="Times New Roman"/>
          <w:b/>
        </w:rPr>
      </w:pPr>
      <w:r w:rsidRPr="006130AA">
        <w:rPr>
          <w:rFonts w:ascii="Times New Roman" w:hAnsi="Times New Roman" w:cs="Times New Roman"/>
          <w:b/>
        </w:rPr>
        <w:t>INFORMACIJA O POSTOJEĆEM SUSTAVU INTERNIH KONTROLA U INSTITUCIJI I O INTERNIM AKTIMA KOJIMA SE ISTE REGULIRAJU</w:t>
      </w:r>
    </w:p>
    <w:p w:rsidR="006130AA" w:rsidRPr="006130AA" w:rsidRDefault="006130AA" w:rsidP="006130AA">
      <w:pPr>
        <w:jc w:val="both"/>
        <w:rPr>
          <w:rFonts w:ascii="Times New Roman" w:hAnsi="Times New Roman" w:cs="Times New Roman"/>
          <w:szCs w:val="24"/>
        </w:rPr>
      </w:pPr>
      <w:r w:rsidRPr="006130AA">
        <w:rPr>
          <w:rFonts w:ascii="Times New Roman" w:hAnsi="Times New Roman" w:cs="Times New Roman"/>
        </w:rPr>
        <w:t>Interne kontrole, kao temeljni postulat uspješnog poslovanja, predmetom su analize financijske revizije Agencije, a obuhvaćene su i interesom interne revizije koju za Agenciju za predškolsko, osnovno i srednje obrazovanje vrši jedinica Interne revizije Ministarstva civilnih poslova BiH. Obzirom na navedeno, kao i na okolnosti poslovanja koje se mijenjanju, mijenjanju se i procedure internih kontrola i interni akti kojima se ova tematika regulira. Sustav internih kontrola obuhvaća širok spektar poslovnih procesa, počevši od procedura izrade strateških akata, financijskih planova, provođenja postupaka javnih nabava, procedura vezanih za financijsko poslovanje, kao i procedura vezanih za praćenje i evidencije potrošnje telefonskih usluga, sredstava reprezentacije, troškova goriva, obračuna putnih naloga i slično. S tim u vezi, Agencija je izradila veći broj internih akata kojima se na adekvatan način uspostavlja sustav interne kontrole i procedure vezane za realizaciju aktivnosti. Trenutno, Agencija ima više internih akata kojima se regulir</w:t>
      </w:r>
      <w:r w:rsidR="008A1DF0">
        <w:rPr>
          <w:rFonts w:ascii="Times New Roman" w:hAnsi="Times New Roman" w:cs="Times New Roman"/>
        </w:rPr>
        <w:t>a sustav internih kontrola u ra</w:t>
      </w:r>
      <w:r w:rsidRPr="006130AA">
        <w:rPr>
          <w:rFonts w:ascii="Times New Roman" w:hAnsi="Times New Roman" w:cs="Times New Roman"/>
        </w:rPr>
        <w:t xml:space="preserve">zličitim oblastima. Pitanje stvaranja </w:t>
      </w:r>
      <w:r w:rsidRPr="006130AA">
        <w:rPr>
          <w:rFonts w:ascii="Times New Roman" w:hAnsi="Times New Roman" w:cs="Times New Roman"/>
        </w:rPr>
        <w:lastRenderedPageBreak/>
        <w:t>oveza je riješeno Pravilnikom o internim procedurama stvranja obveza u Agenciji za predškolsko,</w:t>
      </w:r>
      <w:r w:rsidR="008A1DF0">
        <w:rPr>
          <w:rFonts w:ascii="Times New Roman" w:hAnsi="Times New Roman" w:cs="Times New Roman"/>
        </w:rPr>
        <w:t xml:space="preserve"> osnovno i srednje obrazovanje. </w:t>
      </w:r>
      <w:r w:rsidRPr="006130AA">
        <w:rPr>
          <w:rFonts w:ascii="Times New Roman" w:hAnsi="Times New Roman" w:cs="Times New Roman"/>
          <w:szCs w:val="24"/>
        </w:rPr>
        <w:t>Oblast službenih putovanja je regulira</w:t>
      </w:r>
      <w:r w:rsidR="008A1DF0">
        <w:rPr>
          <w:rFonts w:ascii="Times New Roman" w:hAnsi="Times New Roman" w:cs="Times New Roman"/>
          <w:szCs w:val="24"/>
        </w:rPr>
        <w:t>na Instrukcijom o proceduri pod</w:t>
      </w:r>
      <w:r w:rsidRPr="006130AA">
        <w:rPr>
          <w:rFonts w:ascii="Times New Roman" w:hAnsi="Times New Roman" w:cs="Times New Roman"/>
          <w:szCs w:val="24"/>
        </w:rPr>
        <w:t>nošenja zahtjeva, otvaranja, popunjavanja, obračuna i pravdanja putnih naloga, koja je inovirana i donesena u 2016. godini, uz važeću Odluku o korištenju privatnih vozila u službene svrhe. Pitanje korištenja telefona kao i službenih vozila je propisano odgovarajućim pravilnicima, kao i Odlukom o limitu potrošnje fiksnih telefona na razini Agencije. U pogledu popisa imovine i obveza Agencija je donijela Instrukciju za skladištenje, trebovanje i izdavanje uredskog materijala, kao i Pravilnik o rashodovanju materijalnih sredstava u Agenciji. Agencija je donijela Procedure za izradu godišnjeg proračuna, a Strateški plan Agencije se radi na četverogodišnjim osnovama i redovito se ažurira. Uz sve navedeno, Agencija surađuje s APIK-om, gdje ažurno dostavlja sve potrebna izvješća, a s tim u vezi je izrađen i Akcijski plan borbe protiv korupcije, Pravilnik o postupanju u slučaju prijave korupcije, kao i Plan integriteta Agencije.</w:t>
      </w:r>
    </w:p>
    <w:p w:rsidR="006130AA" w:rsidRPr="006130AA" w:rsidRDefault="006130AA" w:rsidP="006130AA">
      <w:pPr>
        <w:jc w:val="both"/>
        <w:rPr>
          <w:rFonts w:ascii="Times New Roman" w:hAnsi="Times New Roman" w:cs="Times New Roman"/>
          <w:b/>
          <w:szCs w:val="24"/>
        </w:rPr>
      </w:pPr>
      <w:r w:rsidRPr="006130AA">
        <w:rPr>
          <w:rFonts w:ascii="Times New Roman" w:hAnsi="Times New Roman" w:cs="Times New Roman"/>
          <w:szCs w:val="24"/>
        </w:rPr>
        <w:t>Svi navedeni interni akti, uz redovite kontrole i stalno nastojanje za poboljšanjem su doprinijeli da i nalaz financijske revizije, evidentira poboljšanje sustava internih kontrola na godišnjoj razini.</w:t>
      </w:r>
    </w:p>
    <w:p w:rsidR="002D3EF3" w:rsidRPr="006130AA" w:rsidRDefault="002D3EF3" w:rsidP="002352F7">
      <w:pPr>
        <w:tabs>
          <w:tab w:val="left" w:pos="960"/>
        </w:tabs>
        <w:jc w:val="both"/>
        <w:rPr>
          <w:rFonts w:ascii="Times New Roman" w:hAnsi="Times New Roman" w:cs="Times New Roman"/>
          <w:b/>
        </w:rPr>
      </w:pPr>
    </w:p>
    <w:p w:rsidR="00B34CEF" w:rsidRPr="006130AA" w:rsidRDefault="003463B8" w:rsidP="003463B8">
      <w:pPr>
        <w:tabs>
          <w:tab w:val="left" w:pos="960"/>
        </w:tabs>
        <w:rPr>
          <w:rFonts w:ascii="Times New Roman" w:hAnsi="Times New Roman" w:cs="Times New Roman"/>
          <w:b/>
        </w:rPr>
      </w:pPr>
      <w:r w:rsidRPr="006130AA">
        <w:rPr>
          <w:rFonts w:ascii="Times New Roman" w:hAnsi="Times New Roman" w:cs="Times New Roman"/>
          <w:b/>
        </w:rPr>
        <w:tab/>
      </w:r>
      <w:r w:rsidRPr="006130AA">
        <w:rPr>
          <w:rFonts w:ascii="Times New Roman" w:hAnsi="Times New Roman" w:cs="Times New Roman"/>
          <w:b/>
        </w:rPr>
        <w:tab/>
      </w:r>
      <w:r w:rsidRPr="006130AA">
        <w:rPr>
          <w:rFonts w:ascii="Times New Roman" w:hAnsi="Times New Roman" w:cs="Times New Roman"/>
          <w:b/>
        </w:rPr>
        <w:tab/>
      </w:r>
      <w:r w:rsidRPr="006130AA">
        <w:rPr>
          <w:rFonts w:ascii="Times New Roman" w:hAnsi="Times New Roman" w:cs="Times New Roman"/>
          <w:b/>
        </w:rPr>
        <w:tab/>
      </w:r>
      <w:r w:rsidRPr="006130AA">
        <w:rPr>
          <w:rFonts w:ascii="Times New Roman" w:hAnsi="Times New Roman" w:cs="Times New Roman"/>
          <w:b/>
        </w:rPr>
        <w:tab/>
      </w:r>
      <w:r w:rsidRPr="006130AA">
        <w:rPr>
          <w:rFonts w:ascii="Times New Roman" w:hAnsi="Times New Roman" w:cs="Times New Roman"/>
          <w:b/>
        </w:rPr>
        <w:tab/>
      </w:r>
      <w:r w:rsidRPr="006130AA">
        <w:rPr>
          <w:rFonts w:ascii="Times New Roman" w:hAnsi="Times New Roman" w:cs="Times New Roman"/>
          <w:b/>
        </w:rPr>
        <w:tab/>
      </w:r>
      <w:r w:rsidRPr="006130AA">
        <w:rPr>
          <w:rFonts w:ascii="Times New Roman" w:hAnsi="Times New Roman" w:cs="Times New Roman"/>
          <w:b/>
        </w:rPr>
        <w:tab/>
      </w:r>
      <w:r w:rsidRPr="006130AA">
        <w:rPr>
          <w:rFonts w:ascii="Times New Roman" w:hAnsi="Times New Roman" w:cs="Times New Roman"/>
          <w:b/>
        </w:rPr>
        <w:tab/>
      </w:r>
      <w:r w:rsidR="00F247F0" w:rsidRPr="006130AA">
        <w:rPr>
          <w:rFonts w:ascii="Times New Roman" w:hAnsi="Times New Roman" w:cs="Times New Roman"/>
          <w:b/>
        </w:rPr>
        <w:t>Ravnateljica Agencije</w:t>
      </w:r>
    </w:p>
    <w:p w:rsidR="003463B8" w:rsidRPr="006130AA" w:rsidRDefault="00862904" w:rsidP="00B34CEF">
      <w:pPr>
        <w:tabs>
          <w:tab w:val="left" w:pos="960"/>
        </w:tabs>
        <w:rPr>
          <w:rFonts w:ascii="Times New Roman" w:hAnsi="Times New Roman" w:cs="Times New Roman"/>
        </w:rPr>
      </w:pPr>
      <w:r w:rsidRPr="006130AA">
        <w:rPr>
          <w:rFonts w:ascii="Times New Roman" w:hAnsi="Times New Roman" w:cs="Times New Roman"/>
        </w:rPr>
        <w:t xml:space="preserve"> </w:t>
      </w:r>
      <w:r w:rsidR="00470AE0">
        <w:rPr>
          <w:rFonts w:ascii="Times New Roman" w:hAnsi="Times New Roman" w:cs="Times New Roman"/>
        </w:rPr>
        <w:t>26</w:t>
      </w:r>
      <w:r w:rsidR="00AB3B5B" w:rsidRPr="006130AA">
        <w:rPr>
          <w:rFonts w:ascii="Times New Roman" w:hAnsi="Times New Roman" w:cs="Times New Roman"/>
        </w:rPr>
        <w:t>.</w:t>
      </w:r>
      <w:r w:rsidR="00470AE0">
        <w:rPr>
          <w:rFonts w:ascii="Times New Roman" w:hAnsi="Times New Roman" w:cs="Times New Roman"/>
        </w:rPr>
        <w:t>veljače</w:t>
      </w:r>
      <w:r w:rsidR="00AB3B5B" w:rsidRPr="006130AA">
        <w:rPr>
          <w:rFonts w:ascii="Times New Roman" w:hAnsi="Times New Roman" w:cs="Times New Roman"/>
        </w:rPr>
        <w:t xml:space="preserve"> 20</w:t>
      </w:r>
      <w:r w:rsidR="00D1496D">
        <w:rPr>
          <w:rFonts w:ascii="Times New Roman" w:hAnsi="Times New Roman" w:cs="Times New Roman"/>
        </w:rPr>
        <w:t>2</w:t>
      </w:r>
      <w:r w:rsidR="00470AE0">
        <w:rPr>
          <w:rFonts w:ascii="Times New Roman" w:hAnsi="Times New Roman" w:cs="Times New Roman"/>
        </w:rPr>
        <w:t>1</w:t>
      </w:r>
      <w:r w:rsidR="0049552D" w:rsidRPr="006130AA">
        <w:rPr>
          <w:rFonts w:ascii="Times New Roman" w:hAnsi="Times New Roman" w:cs="Times New Roman"/>
        </w:rPr>
        <w:t>. godine</w:t>
      </w:r>
      <w:r w:rsidR="0049552D" w:rsidRPr="006130AA">
        <w:rPr>
          <w:rFonts w:ascii="Times New Roman" w:hAnsi="Times New Roman" w:cs="Times New Roman"/>
        </w:rPr>
        <w:tab/>
      </w:r>
      <w:r w:rsidR="0049552D" w:rsidRPr="006130AA">
        <w:rPr>
          <w:rFonts w:ascii="Times New Roman" w:hAnsi="Times New Roman" w:cs="Times New Roman"/>
        </w:rPr>
        <w:tab/>
      </w:r>
      <w:r w:rsidR="0049552D" w:rsidRPr="006130AA">
        <w:rPr>
          <w:rFonts w:ascii="Times New Roman" w:hAnsi="Times New Roman" w:cs="Times New Roman"/>
        </w:rPr>
        <w:tab/>
      </w:r>
      <w:r w:rsidR="0049552D" w:rsidRPr="006130AA">
        <w:rPr>
          <w:rFonts w:ascii="Times New Roman" w:hAnsi="Times New Roman" w:cs="Times New Roman"/>
        </w:rPr>
        <w:tab/>
      </w:r>
      <w:r w:rsidR="0049552D" w:rsidRPr="006130AA">
        <w:rPr>
          <w:rFonts w:ascii="Times New Roman" w:hAnsi="Times New Roman" w:cs="Times New Roman"/>
        </w:rPr>
        <w:tab/>
      </w:r>
      <w:r w:rsidR="0049552D" w:rsidRPr="006130AA">
        <w:rPr>
          <w:rFonts w:ascii="Times New Roman" w:hAnsi="Times New Roman" w:cs="Times New Roman"/>
        </w:rPr>
        <w:tab/>
      </w:r>
      <w:r w:rsidR="0049552D" w:rsidRPr="006130AA">
        <w:rPr>
          <w:rFonts w:ascii="Times New Roman" w:hAnsi="Times New Roman" w:cs="Times New Roman"/>
        </w:rPr>
        <w:tab/>
      </w:r>
      <w:r w:rsidR="0049552D" w:rsidRPr="006130AA">
        <w:rPr>
          <w:rFonts w:ascii="Times New Roman" w:hAnsi="Times New Roman" w:cs="Times New Roman"/>
        </w:rPr>
        <w:tab/>
      </w:r>
      <w:r w:rsidR="0049552D" w:rsidRPr="006130AA">
        <w:rPr>
          <w:rFonts w:ascii="Times New Roman" w:hAnsi="Times New Roman" w:cs="Times New Roman"/>
        </w:rPr>
        <w:tab/>
      </w:r>
      <w:r w:rsidR="0049552D" w:rsidRPr="006130AA">
        <w:rPr>
          <w:rFonts w:ascii="Times New Roman" w:hAnsi="Times New Roman" w:cs="Times New Roman"/>
        </w:rPr>
        <w:tab/>
      </w:r>
      <w:r w:rsidR="0049552D" w:rsidRPr="006130AA">
        <w:rPr>
          <w:rFonts w:ascii="Times New Roman" w:hAnsi="Times New Roman" w:cs="Times New Roman"/>
        </w:rPr>
        <w:tab/>
      </w:r>
      <w:r w:rsidR="0049552D" w:rsidRPr="006130AA">
        <w:rPr>
          <w:rFonts w:ascii="Times New Roman" w:hAnsi="Times New Roman" w:cs="Times New Roman"/>
        </w:rPr>
        <w:tab/>
      </w:r>
      <w:r w:rsidR="0049552D" w:rsidRPr="006130AA">
        <w:rPr>
          <w:rFonts w:ascii="Times New Roman" w:hAnsi="Times New Roman" w:cs="Times New Roman"/>
        </w:rPr>
        <w:tab/>
      </w:r>
      <w:r w:rsidR="003463B8" w:rsidRPr="006130AA">
        <w:rPr>
          <w:rFonts w:ascii="Times New Roman" w:hAnsi="Times New Roman" w:cs="Times New Roman"/>
        </w:rPr>
        <w:tab/>
      </w:r>
      <w:r w:rsidR="003463B8" w:rsidRPr="006130AA">
        <w:rPr>
          <w:rFonts w:ascii="Times New Roman" w:hAnsi="Times New Roman" w:cs="Times New Roman"/>
        </w:rPr>
        <w:tab/>
      </w:r>
      <w:r w:rsidR="003463B8" w:rsidRPr="006130AA">
        <w:rPr>
          <w:rFonts w:ascii="Times New Roman" w:hAnsi="Times New Roman" w:cs="Times New Roman"/>
        </w:rPr>
        <w:tab/>
      </w:r>
      <w:r w:rsidR="00AB3B5B" w:rsidRPr="006130AA">
        <w:rPr>
          <w:rFonts w:ascii="Times New Roman" w:hAnsi="Times New Roman" w:cs="Times New Roman"/>
        </w:rPr>
        <w:t xml:space="preserve">              </w:t>
      </w:r>
      <w:r w:rsidR="0049552D" w:rsidRPr="006130AA">
        <w:rPr>
          <w:rFonts w:ascii="Times New Roman" w:hAnsi="Times New Roman" w:cs="Times New Roman"/>
        </w:rPr>
        <w:t xml:space="preserve">     </w:t>
      </w:r>
      <w:r w:rsidR="00AB3B5B" w:rsidRPr="006130AA">
        <w:rPr>
          <w:rFonts w:ascii="Times New Roman" w:hAnsi="Times New Roman" w:cs="Times New Roman"/>
        </w:rPr>
        <w:t>___</w:t>
      </w:r>
      <w:r w:rsidR="003463B8" w:rsidRPr="006130AA">
        <w:rPr>
          <w:rFonts w:ascii="Times New Roman" w:hAnsi="Times New Roman" w:cs="Times New Roman"/>
        </w:rPr>
        <w:t>_______________________</w:t>
      </w:r>
    </w:p>
    <w:p w:rsidR="003463B8" w:rsidRPr="006130AA" w:rsidRDefault="003463B8" w:rsidP="003463B8">
      <w:pPr>
        <w:tabs>
          <w:tab w:val="left" w:pos="960"/>
        </w:tabs>
        <w:spacing w:after="0"/>
        <w:rPr>
          <w:rFonts w:ascii="Times New Roman" w:hAnsi="Times New Roman" w:cs="Times New Roman"/>
        </w:rPr>
      </w:pPr>
      <w:r w:rsidRPr="006130AA">
        <w:rPr>
          <w:rFonts w:ascii="Times New Roman" w:hAnsi="Times New Roman" w:cs="Times New Roman"/>
        </w:rPr>
        <w:tab/>
      </w:r>
      <w:r w:rsidRPr="006130AA">
        <w:rPr>
          <w:rFonts w:ascii="Times New Roman" w:hAnsi="Times New Roman" w:cs="Times New Roman"/>
        </w:rPr>
        <w:tab/>
      </w:r>
      <w:r w:rsidRPr="006130AA">
        <w:rPr>
          <w:rFonts w:ascii="Times New Roman" w:hAnsi="Times New Roman" w:cs="Times New Roman"/>
        </w:rPr>
        <w:tab/>
      </w:r>
      <w:r w:rsidRPr="006130AA">
        <w:rPr>
          <w:rFonts w:ascii="Times New Roman" w:hAnsi="Times New Roman" w:cs="Times New Roman"/>
        </w:rPr>
        <w:tab/>
      </w:r>
      <w:r w:rsidRPr="006130AA">
        <w:rPr>
          <w:rFonts w:ascii="Times New Roman" w:hAnsi="Times New Roman" w:cs="Times New Roman"/>
        </w:rPr>
        <w:tab/>
      </w:r>
      <w:r w:rsidRPr="006130AA">
        <w:rPr>
          <w:rFonts w:ascii="Times New Roman" w:hAnsi="Times New Roman" w:cs="Times New Roman"/>
        </w:rPr>
        <w:tab/>
      </w:r>
      <w:r w:rsidRPr="006130AA">
        <w:rPr>
          <w:rFonts w:ascii="Times New Roman" w:hAnsi="Times New Roman" w:cs="Times New Roman"/>
        </w:rPr>
        <w:tab/>
      </w:r>
      <w:r w:rsidRPr="006130AA">
        <w:rPr>
          <w:rFonts w:ascii="Times New Roman" w:hAnsi="Times New Roman" w:cs="Times New Roman"/>
        </w:rPr>
        <w:tab/>
      </w:r>
      <w:r w:rsidR="0049552D" w:rsidRPr="006130AA">
        <w:rPr>
          <w:rFonts w:ascii="Times New Roman" w:hAnsi="Times New Roman" w:cs="Times New Roman"/>
        </w:rPr>
        <w:t xml:space="preserve">               </w:t>
      </w:r>
      <w:r w:rsidRPr="006130AA">
        <w:rPr>
          <w:rFonts w:ascii="Times New Roman" w:hAnsi="Times New Roman" w:cs="Times New Roman"/>
        </w:rPr>
        <w:t>(Svojeručni potpis)</w:t>
      </w:r>
    </w:p>
    <w:sectPr w:rsidR="003463B8" w:rsidRPr="00613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CE">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374"/>
    <w:multiLevelType w:val="hybridMultilevel"/>
    <w:tmpl w:val="DD885AC6"/>
    <w:lvl w:ilvl="0" w:tplc="44306F30">
      <w:start w:val="1"/>
      <w:numFmt w:val="decimal"/>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 w15:restartNumberingAfterBreak="0">
    <w:nsid w:val="380D7B7E"/>
    <w:multiLevelType w:val="hybridMultilevel"/>
    <w:tmpl w:val="00C8789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6AA75029"/>
    <w:multiLevelType w:val="hybridMultilevel"/>
    <w:tmpl w:val="FC2A94EE"/>
    <w:lvl w:ilvl="0" w:tplc="1D22EBA0">
      <w:start w:val="1"/>
      <w:numFmt w:val="decimal"/>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3" w15:restartNumberingAfterBreak="0">
    <w:nsid w:val="762D70C5"/>
    <w:multiLevelType w:val="hybridMultilevel"/>
    <w:tmpl w:val="62C22BA2"/>
    <w:lvl w:ilvl="0" w:tplc="65FE24A6">
      <w:start w:val="1"/>
      <w:numFmt w:val="upp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9E"/>
    <w:rsid w:val="000631D6"/>
    <w:rsid w:val="00065F55"/>
    <w:rsid w:val="000B5EDC"/>
    <w:rsid w:val="000C4F09"/>
    <w:rsid w:val="001712C2"/>
    <w:rsid w:val="00193AAA"/>
    <w:rsid w:val="001C085E"/>
    <w:rsid w:val="002352F7"/>
    <w:rsid w:val="00264C2C"/>
    <w:rsid w:val="002B0107"/>
    <w:rsid w:val="002D3EF3"/>
    <w:rsid w:val="003463B8"/>
    <w:rsid w:val="003D1493"/>
    <w:rsid w:val="003D47F5"/>
    <w:rsid w:val="003F09C4"/>
    <w:rsid w:val="0042115E"/>
    <w:rsid w:val="00423193"/>
    <w:rsid w:val="00440615"/>
    <w:rsid w:val="00470AE0"/>
    <w:rsid w:val="0049552D"/>
    <w:rsid w:val="004B79F2"/>
    <w:rsid w:val="00503C54"/>
    <w:rsid w:val="00524F27"/>
    <w:rsid w:val="00533A6A"/>
    <w:rsid w:val="005564C3"/>
    <w:rsid w:val="005566F0"/>
    <w:rsid w:val="00562BDE"/>
    <w:rsid w:val="00581929"/>
    <w:rsid w:val="005A21C3"/>
    <w:rsid w:val="006130AA"/>
    <w:rsid w:val="00630BC0"/>
    <w:rsid w:val="00632227"/>
    <w:rsid w:val="006436E0"/>
    <w:rsid w:val="00661158"/>
    <w:rsid w:val="006635C2"/>
    <w:rsid w:val="0066609C"/>
    <w:rsid w:val="006E0D98"/>
    <w:rsid w:val="00707156"/>
    <w:rsid w:val="007373C5"/>
    <w:rsid w:val="00753460"/>
    <w:rsid w:val="00775B38"/>
    <w:rsid w:val="007B5B02"/>
    <w:rsid w:val="007E1B14"/>
    <w:rsid w:val="00835EF9"/>
    <w:rsid w:val="00856B83"/>
    <w:rsid w:val="00862904"/>
    <w:rsid w:val="00877C83"/>
    <w:rsid w:val="00883090"/>
    <w:rsid w:val="008A1DF0"/>
    <w:rsid w:val="008D0B63"/>
    <w:rsid w:val="008F6140"/>
    <w:rsid w:val="009659BE"/>
    <w:rsid w:val="0098196D"/>
    <w:rsid w:val="00982C5F"/>
    <w:rsid w:val="009C0349"/>
    <w:rsid w:val="009D432C"/>
    <w:rsid w:val="009F22E2"/>
    <w:rsid w:val="00A25E62"/>
    <w:rsid w:val="00A37DD0"/>
    <w:rsid w:val="00A5210E"/>
    <w:rsid w:val="00A64C94"/>
    <w:rsid w:val="00AB3B5B"/>
    <w:rsid w:val="00AF1E57"/>
    <w:rsid w:val="00B06280"/>
    <w:rsid w:val="00B34CEF"/>
    <w:rsid w:val="00B52246"/>
    <w:rsid w:val="00B80300"/>
    <w:rsid w:val="00BD55E9"/>
    <w:rsid w:val="00BE5F44"/>
    <w:rsid w:val="00C01AB9"/>
    <w:rsid w:val="00C94493"/>
    <w:rsid w:val="00CA21F8"/>
    <w:rsid w:val="00CF538F"/>
    <w:rsid w:val="00D0243C"/>
    <w:rsid w:val="00D039E6"/>
    <w:rsid w:val="00D1496D"/>
    <w:rsid w:val="00D253FD"/>
    <w:rsid w:val="00D25FC9"/>
    <w:rsid w:val="00D443FD"/>
    <w:rsid w:val="00D7689E"/>
    <w:rsid w:val="00DA006E"/>
    <w:rsid w:val="00DF0E06"/>
    <w:rsid w:val="00DF3864"/>
    <w:rsid w:val="00E20A44"/>
    <w:rsid w:val="00E3794B"/>
    <w:rsid w:val="00EA273C"/>
    <w:rsid w:val="00EE4583"/>
    <w:rsid w:val="00F11E5C"/>
    <w:rsid w:val="00F157F8"/>
    <w:rsid w:val="00F221F1"/>
    <w:rsid w:val="00F247F0"/>
    <w:rsid w:val="00F25218"/>
    <w:rsid w:val="00F25C04"/>
    <w:rsid w:val="00F51C4A"/>
    <w:rsid w:val="00F86404"/>
    <w:rsid w:val="00F9113F"/>
    <w:rsid w:val="00F97892"/>
    <w:rsid w:val="00FB2E80"/>
    <w:rsid w:val="00FC3F37"/>
    <w:rsid w:val="00FE6E43"/>
    <w:rsid w:val="00FF1B69"/>
  </w:rsids>
  <m:mathPr>
    <m:mathFont m:val="Cambria Math"/>
    <m:brkBin m:val="before"/>
    <m:brkBinSub m:val="--"/>
    <m:smallFrac m:val="0"/>
    <m:dispDef/>
    <m:lMargin m:val="0"/>
    <m:rMargin m:val="0"/>
    <m:defJc m:val="centerGroup"/>
    <m:wrapIndent m:val="1440"/>
    <m:intLim m:val="subSup"/>
    <m:naryLim m:val="undOvr"/>
  </m:mathPr>
  <w:themeFontLang w:val="hr-B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6D6F"/>
  <w15:docId w15:val="{3D27D0D1-38FF-4251-BC1D-6C5D82B2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7689E"/>
    <w:pPr>
      <w:ind w:left="720"/>
      <w:contextualSpacing/>
    </w:pPr>
  </w:style>
  <w:style w:type="table" w:styleId="Reetkatablice">
    <w:name w:val="Table Grid"/>
    <w:basedOn w:val="Obinatablica"/>
    <w:uiPriority w:val="59"/>
    <w:rsid w:val="00D76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E20A44"/>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Tekstbalonia">
    <w:name w:val="Balloon Text"/>
    <w:basedOn w:val="Normal"/>
    <w:link w:val="TekstbaloniaChar"/>
    <w:uiPriority w:val="99"/>
    <w:semiHidden/>
    <w:unhideWhenUsed/>
    <w:rsid w:val="005566F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5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1221">
      <w:bodyDiv w:val="1"/>
      <w:marLeft w:val="0"/>
      <w:marRight w:val="0"/>
      <w:marTop w:val="0"/>
      <w:marBottom w:val="0"/>
      <w:divBdr>
        <w:top w:val="none" w:sz="0" w:space="0" w:color="auto"/>
        <w:left w:val="none" w:sz="0" w:space="0" w:color="auto"/>
        <w:bottom w:val="none" w:sz="0" w:space="0" w:color="auto"/>
        <w:right w:val="none" w:sz="0" w:space="0" w:color="auto"/>
      </w:divBdr>
    </w:div>
    <w:div w:id="157044856">
      <w:bodyDiv w:val="1"/>
      <w:marLeft w:val="0"/>
      <w:marRight w:val="0"/>
      <w:marTop w:val="0"/>
      <w:marBottom w:val="0"/>
      <w:divBdr>
        <w:top w:val="none" w:sz="0" w:space="0" w:color="auto"/>
        <w:left w:val="none" w:sz="0" w:space="0" w:color="auto"/>
        <w:bottom w:val="none" w:sz="0" w:space="0" w:color="auto"/>
        <w:right w:val="none" w:sz="0" w:space="0" w:color="auto"/>
      </w:divBdr>
    </w:div>
    <w:div w:id="171143022">
      <w:bodyDiv w:val="1"/>
      <w:marLeft w:val="0"/>
      <w:marRight w:val="0"/>
      <w:marTop w:val="0"/>
      <w:marBottom w:val="0"/>
      <w:divBdr>
        <w:top w:val="none" w:sz="0" w:space="0" w:color="auto"/>
        <w:left w:val="none" w:sz="0" w:space="0" w:color="auto"/>
        <w:bottom w:val="none" w:sz="0" w:space="0" w:color="auto"/>
        <w:right w:val="none" w:sz="0" w:space="0" w:color="auto"/>
      </w:divBdr>
    </w:div>
    <w:div w:id="191723742">
      <w:bodyDiv w:val="1"/>
      <w:marLeft w:val="0"/>
      <w:marRight w:val="0"/>
      <w:marTop w:val="0"/>
      <w:marBottom w:val="0"/>
      <w:divBdr>
        <w:top w:val="none" w:sz="0" w:space="0" w:color="auto"/>
        <w:left w:val="none" w:sz="0" w:space="0" w:color="auto"/>
        <w:bottom w:val="none" w:sz="0" w:space="0" w:color="auto"/>
        <w:right w:val="none" w:sz="0" w:space="0" w:color="auto"/>
      </w:divBdr>
    </w:div>
    <w:div w:id="521162565">
      <w:bodyDiv w:val="1"/>
      <w:marLeft w:val="0"/>
      <w:marRight w:val="0"/>
      <w:marTop w:val="0"/>
      <w:marBottom w:val="0"/>
      <w:divBdr>
        <w:top w:val="none" w:sz="0" w:space="0" w:color="auto"/>
        <w:left w:val="none" w:sz="0" w:space="0" w:color="auto"/>
        <w:bottom w:val="none" w:sz="0" w:space="0" w:color="auto"/>
        <w:right w:val="none" w:sz="0" w:space="0" w:color="auto"/>
      </w:divBdr>
    </w:div>
    <w:div w:id="833035499">
      <w:bodyDiv w:val="1"/>
      <w:marLeft w:val="0"/>
      <w:marRight w:val="0"/>
      <w:marTop w:val="0"/>
      <w:marBottom w:val="0"/>
      <w:divBdr>
        <w:top w:val="none" w:sz="0" w:space="0" w:color="auto"/>
        <w:left w:val="none" w:sz="0" w:space="0" w:color="auto"/>
        <w:bottom w:val="none" w:sz="0" w:space="0" w:color="auto"/>
        <w:right w:val="none" w:sz="0" w:space="0" w:color="auto"/>
      </w:divBdr>
    </w:div>
    <w:div w:id="862984954">
      <w:bodyDiv w:val="1"/>
      <w:marLeft w:val="0"/>
      <w:marRight w:val="0"/>
      <w:marTop w:val="0"/>
      <w:marBottom w:val="0"/>
      <w:divBdr>
        <w:top w:val="none" w:sz="0" w:space="0" w:color="auto"/>
        <w:left w:val="none" w:sz="0" w:space="0" w:color="auto"/>
        <w:bottom w:val="none" w:sz="0" w:space="0" w:color="auto"/>
        <w:right w:val="none" w:sz="0" w:space="0" w:color="auto"/>
      </w:divBdr>
    </w:div>
    <w:div w:id="873885110">
      <w:bodyDiv w:val="1"/>
      <w:marLeft w:val="0"/>
      <w:marRight w:val="0"/>
      <w:marTop w:val="0"/>
      <w:marBottom w:val="0"/>
      <w:divBdr>
        <w:top w:val="none" w:sz="0" w:space="0" w:color="auto"/>
        <w:left w:val="none" w:sz="0" w:space="0" w:color="auto"/>
        <w:bottom w:val="none" w:sz="0" w:space="0" w:color="auto"/>
        <w:right w:val="none" w:sz="0" w:space="0" w:color="auto"/>
      </w:divBdr>
    </w:div>
    <w:div w:id="924529352">
      <w:bodyDiv w:val="1"/>
      <w:marLeft w:val="0"/>
      <w:marRight w:val="0"/>
      <w:marTop w:val="0"/>
      <w:marBottom w:val="0"/>
      <w:divBdr>
        <w:top w:val="none" w:sz="0" w:space="0" w:color="auto"/>
        <w:left w:val="none" w:sz="0" w:space="0" w:color="auto"/>
        <w:bottom w:val="none" w:sz="0" w:space="0" w:color="auto"/>
        <w:right w:val="none" w:sz="0" w:space="0" w:color="auto"/>
      </w:divBdr>
    </w:div>
    <w:div w:id="1155755231">
      <w:bodyDiv w:val="1"/>
      <w:marLeft w:val="0"/>
      <w:marRight w:val="0"/>
      <w:marTop w:val="0"/>
      <w:marBottom w:val="0"/>
      <w:divBdr>
        <w:top w:val="none" w:sz="0" w:space="0" w:color="auto"/>
        <w:left w:val="none" w:sz="0" w:space="0" w:color="auto"/>
        <w:bottom w:val="none" w:sz="0" w:space="0" w:color="auto"/>
        <w:right w:val="none" w:sz="0" w:space="0" w:color="auto"/>
      </w:divBdr>
    </w:div>
    <w:div w:id="1384282937">
      <w:bodyDiv w:val="1"/>
      <w:marLeft w:val="0"/>
      <w:marRight w:val="0"/>
      <w:marTop w:val="0"/>
      <w:marBottom w:val="0"/>
      <w:divBdr>
        <w:top w:val="none" w:sz="0" w:space="0" w:color="auto"/>
        <w:left w:val="none" w:sz="0" w:space="0" w:color="auto"/>
        <w:bottom w:val="none" w:sz="0" w:space="0" w:color="auto"/>
        <w:right w:val="none" w:sz="0" w:space="0" w:color="auto"/>
      </w:divBdr>
    </w:div>
    <w:div w:id="1445230086">
      <w:bodyDiv w:val="1"/>
      <w:marLeft w:val="0"/>
      <w:marRight w:val="0"/>
      <w:marTop w:val="0"/>
      <w:marBottom w:val="0"/>
      <w:divBdr>
        <w:top w:val="none" w:sz="0" w:space="0" w:color="auto"/>
        <w:left w:val="none" w:sz="0" w:space="0" w:color="auto"/>
        <w:bottom w:val="none" w:sz="0" w:space="0" w:color="auto"/>
        <w:right w:val="none" w:sz="0" w:space="0" w:color="auto"/>
      </w:divBdr>
    </w:div>
    <w:div w:id="1453088369">
      <w:bodyDiv w:val="1"/>
      <w:marLeft w:val="0"/>
      <w:marRight w:val="0"/>
      <w:marTop w:val="0"/>
      <w:marBottom w:val="0"/>
      <w:divBdr>
        <w:top w:val="none" w:sz="0" w:space="0" w:color="auto"/>
        <w:left w:val="none" w:sz="0" w:space="0" w:color="auto"/>
        <w:bottom w:val="none" w:sz="0" w:space="0" w:color="auto"/>
        <w:right w:val="none" w:sz="0" w:space="0" w:color="auto"/>
      </w:divBdr>
    </w:div>
    <w:div w:id="1464152820">
      <w:bodyDiv w:val="1"/>
      <w:marLeft w:val="0"/>
      <w:marRight w:val="0"/>
      <w:marTop w:val="0"/>
      <w:marBottom w:val="0"/>
      <w:divBdr>
        <w:top w:val="none" w:sz="0" w:space="0" w:color="auto"/>
        <w:left w:val="none" w:sz="0" w:space="0" w:color="auto"/>
        <w:bottom w:val="none" w:sz="0" w:space="0" w:color="auto"/>
        <w:right w:val="none" w:sz="0" w:space="0" w:color="auto"/>
      </w:divBdr>
    </w:div>
    <w:div w:id="1501508763">
      <w:bodyDiv w:val="1"/>
      <w:marLeft w:val="0"/>
      <w:marRight w:val="0"/>
      <w:marTop w:val="0"/>
      <w:marBottom w:val="0"/>
      <w:divBdr>
        <w:top w:val="none" w:sz="0" w:space="0" w:color="auto"/>
        <w:left w:val="none" w:sz="0" w:space="0" w:color="auto"/>
        <w:bottom w:val="none" w:sz="0" w:space="0" w:color="auto"/>
        <w:right w:val="none" w:sz="0" w:space="0" w:color="auto"/>
      </w:divBdr>
    </w:div>
    <w:div w:id="1526405286">
      <w:bodyDiv w:val="1"/>
      <w:marLeft w:val="0"/>
      <w:marRight w:val="0"/>
      <w:marTop w:val="0"/>
      <w:marBottom w:val="0"/>
      <w:divBdr>
        <w:top w:val="none" w:sz="0" w:space="0" w:color="auto"/>
        <w:left w:val="none" w:sz="0" w:space="0" w:color="auto"/>
        <w:bottom w:val="none" w:sz="0" w:space="0" w:color="auto"/>
        <w:right w:val="none" w:sz="0" w:space="0" w:color="auto"/>
      </w:divBdr>
    </w:div>
    <w:div w:id="1538396455">
      <w:bodyDiv w:val="1"/>
      <w:marLeft w:val="0"/>
      <w:marRight w:val="0"/>
      <w:marTop w:val="0"/>
      <w:marBottom w:val="0"/>
      <w:divBdr>
        <w:top w:val="none" w:sz="0" w:space="0" w:color="auto"/>
        <w:left w:val="none" w:sz="0" w:space="0" w:color="auto"/>
        <w:bottom w:val="none" w:sz="0" w:space="0" w:color="auto"/>
        <w:right w:val="none" w:sz="0" w:space="0" w:color="auto"/>
      </w:divBdr>
    </w:div>
    <w:div w:id="1608998110">
      <w:bodyDiv w:val="1"/>
      <w:marLeft w:val="0"/>
      <w:marRight w:val="0"/>
      <w:marTop w:val="0"/>
      <w:marBottom w:val="0"/>
      <w:divBdr>
        <w:top w:val="none" w:sz="0" w:space="0" w:color="auto"/>
        <w:left w:val="none" w:sz="0" w:space="0" w:color="auto"/>
        <w:bottom w:val="none" w:sz="0" w:space="0" w:color="auto"/>
        <w:right w:val="none" w:sz="0" w:space="0" w:color="auto"/>
      </w:divBdr>
    </w:div>
    <w:div w:id="1790933403">
      <w:bodyDiv w:val="1"/>
      <w:marLeft w:val="0"/>
      <w:marRight w:val="0"/>
      <w:marTop w:val="0"/>
      <w:marBottom w:val="0"/>
      <w:divBdr>
        <w:top w:val="none" w:sz="0" w:space="0" w:color="auto"/>
        <w:left w:val="none" w:sz="0" w:space="0" w:color="auto"/>
        <w:bottom w:val="none" w:sz="0" w:space="0" w:color="auto"/>
        <w:right w:val="none" w:sz="0" w:space="0" w:color="auto"/>
      </w:divBdr>
    </w:div>
    <w:div w:id="1842499774">
      <w:bodyDiv w:val="1"/>
      <w:marLeft w:val="0"/>
      <w:marRight w:val="0"/>
      <w:marTop w:val="0"/>
      <w:marBottom w:val="0"/>
      <w:divBdr>
        <w:top w:val="none" w:sz="0" w:space="0" w:color="auto"/>
        <w:left w:val="none" w:sz="0" w:space="0" w:color="auto"/>
        <w:bottom w:val="none" w:sz="0" w:space="0" w:color="auto"/>
        <w:right w:val="none" w:sz="0" w:space="0" w:color="auto"/>
      </w:divBdr>
    </w:div>
    <w:div w:id="1880431232">
      <w:bodyDiv w:val="1"/>
      <w:marLeft w:val="0"/>
      <w:marRight w:val="0"/>
      <w:marTop w:val="0"/>
      <w:marBottom w:val="0"/>
      <w:divBdr>
        <w:top w:val="none" w:sz="0" w:space="0" w:color="auto"/>
        <w:left w:val="none" w:sz="0" w:space="0" w:color="auto"/>
        <w:bottom w:val="none" w:sz="0" w:space="0" w:color="auto"/>
        <w:right w:val="none" w:sz="0" w:space="0" w:color="auto"/>
      </w:divBdr>
    </w:div>
    <w:div w:id="1952859955">
      <w:bodyDiv w:val="1"/>
      <w:marLeft w:val="0"/>
      <w:marRight w:val="0"/>
      <w:marTop w:val="0"/>
      <w:marBottom w:val="0"/>
      <w:divBdr>
        <w:top w:val="none" w:sz="0" w:space="0" w:color="auto"/>
        <w:left w:val="none" w:sz="0" w:space="0" w:color="auto"/>
        <w:bottom w:val="none" w:sz="0" w:space="0" w:color="auto"/>
        <w:right w:val="none" w:sz="0" w:space="0" w:color="auto"/>
      </w:divBdr>
    </w:div>
    <w:div w:id="1966110717">
      <w:bodyDiv w:val="1"/>
      <w:marLeft w:val="0"/>
      <w:marRight w:val="0"/>
      <w:marTop w:val="0"/>
      <w:marBottom w:val="0"/>
      <w:divBdr>
        <w:top w:val="none" w:sz="0" w:space="0" w:color="auto"/>
        <w:left w:val="none" w:sz="0" w:space="0" w:color="auto"/>
        <w:bottom w:val="none" w:sz="0" w:space="0" w:color="auto"/>
        <w:right w:val="none" w:sz="0" w:space="0" w:color="auto"/>
      </w:divBdr>
    </w:div>
    <w:div w:id="1996882778">
      <w:bodyDiv w:val="1"/>
      <w:marLeft w:val="0"/>
      <w:marRight w:val="0"/>
      <w:marTop w:val="0"/>
      <w:marBottom w:val="0"/>
      <w:divBdr>
        <w:top w:val="none" w:sz="0" w:space="0" w:color="auto"/>
        <w:left w:val="none" w:sz="0" w:space="0" w:color="auto"/>
        <w:bottom w:val="none" w:sz="0" w:space="0" w:color="auto"/>
        <w:right w:val="none" w:sz="0" w:space="0" w:color="auto"/>
      </w:divBdr>
    </w:div>
    <w:div w:id="2059087655">
      <w:bodyDiv w:val="1"/>
      <w:marLeft w:val="0"/>
      <w:marRight w:val="0"/>
      <w:marTop w:val="0"/>
      <w:marBottom w:val="0"/>
      <w:divBdr>
        <w:top w:val="none" w:sz="0" w:space="0" w:color="auto"/>
        <w:left w:val="none" w:sz="0" w:space="0" w:color="auto"/>
        <w:bottom w:val="none" w:sz="0" w:space="0" w:color="auto"/>
        <w:right w:val="none" w:sz="0" w:space="0" w:color="auto"/>
      </w:divBdr>
    </w:div>
    <w:div w:id="209324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8729-37BE-478A-A6E3-9456F559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1453</Words>
  <Characters>8283</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USER</cp:lastModifiedBy>
  <cp:revision>4</cp:revision>
  <cp:lastPrinted>2016-02-29T09:04:00Z</cp:lastPrinted>
  <dcterms:created xsi:type="dcterms:W3CDTF">2021-03-16T13:25:00Z</dcterms:created>
  <dcterms:modified xsi:type="dcterms:W3CDTF">2021-03-17T13:14:00Z</dcterms:modified>
</cp:coreProperties>
</file>